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val="true"/>
      </w:pPr>
    </w:p>
    <w:p>
      <w:pPr>
        <w:widowControl w:val="true"/>
      </w:pPr>
    </w:p>
    <w:p>
      <w:pPr>
        <w:widowControl w:val="true"/>
      </w:pPr>
    </w:p>
    <w:p>
      <w:pPr>
        <w:widowControl w:val="true"/>
      </w:pPr>
    </w:p>
    <w:p>
      <w:pPr>
        <w:jc w:val="center"/>
        <w:widowControl w:val="true"/>
      </w:pPr>
      <w:r>
        <w:rPr>
          <w:b/>
          <w:color w:val="2E74B5"/>
          <w:sz w:val="28"/>
        </w:rPr>
        <w:t>VBT AUTOMATISMES</w:t>
      </w:r>
    </w:p>
    <w:p>
      <w:pPr>
        <w:pStyle w:val="Title"/>
        <w:jc w:val="center"/>
        <w:widowControl w:val="true"/>
      </w:pPr>
      <w:r>
        <w:t>CONDITIONS GÉNÉRALES</w:t>
        <w:br/>
        <w:t>DE VENTE</w:t>
      </w:r>
    </w:p>
    <w:p>
      <w:pPr>
        <w:pStyle w:val="Subtitle"/>
        <w:jc w:val="center"/>
        <w:widowControl w:val="true"/>
      </w:pPr>
      <w:r>
        <w:t>Installation, maintenance, dépannage et modernisation des systèmes d’accès automatisés</w:t>
      </w:r>
    </w:p>
    <w:p>
      <w:pPr>
        <w:widowControl w:val="true"/>
      </w:pPr>
    </w:p>
    <w:tbl>
      <w:tblPr>
        <w:tblStyle w:val="TableGrid"/>
        <w:tblW w:type="dxa" w:w="8561"/>
        <w:jc w:val="center"/>
        <w:tblLayout w:type="fixed"/>
        <w:tblLook w:firstColumn="1" w:firstRow="1" w:lastColumn="0" w:lastRow="0" w:noHBand="0" w:noVBand="1" w:val="04A0"/>
        <w:tblInd w:w="120" w:type="dxa"/>
      </w:tblPr>
      <w:tblGrid>
        <w:gridCol w:w="2438"/>
        <w:gridCol w:w="6123"/>
      </w:tblGrid>
      <w:tr>
        <w:tc>
          <w:tcPr>
            <w:tcW w:type="dxa" w:w="2438"/>
            <w:shd w:fill="F5F7FA"/>
            <w:tcMar>
              <w:top w:w="90" w:type="dxa"/>
              <w:start w:w="120" w:type="dxa"/>
              <w:bottom w:w="90" w:type="dxa"/>
              <w:end w:w="120" w:type="dxa"/>
            </w:tcMar>
            <w:vAlign w:val="center"/>
          </w:tcPr>
          <w:p>
            <w:pPr>
              <w:pStyle w:val="TableText"/>
              <w:jc w:val="left"/>
            </w:pPr>
            <w:r>
              <w:rPr>
                <w:b/>
              </w:rPr>
              <w:t>ÉMETTEUR</w:t>
            </w:r>
          </w:p>
        </w:tc>
        <w:tc>
          <w:tcPr>
            <w:tcW w:type="dxa" w:w="6123"/>
            <w:tcMar>
              <w:top w:w="90" w:type="dxa"/>
              <w:start w:w="120" w:type="dxa"/>
              <w:bottom w:w="90" w:type="dxa"/>
              <w:end w:w="120" w:type="dxa"/>
            </w:tcMar>
            <w:vAlign w:val="center"/>
          </w:tcPr>
          <w:p>
            <w:pPr>
              <w:pStyle w:val="TableText"/>
              <w:jc w:val="left"/>
            </w:pPr>
            <w:r>
              <w:t>VBT AUTOMATISMES</w:t>
            </w:r>
          </w:p>
        </w:tc>
      </w:tr>
      <w:tr>
        <w:tc>
          <w:tcPr>
            <w:tcW w:type="dxa" w:w="2438"/>
            <w:shd w:fill="F5F7FA"/>
            <w:tcMar>
              <w:top w:w="90" w:type="dxa"/>
              <w:start w:w="120" w:type="dxa"/>
              <w:bottom w:w="90" w:type="dxa"/>
              <w:end w:w="120" w:type="dxa"/>
            </w:tcMar>
            <w:vAlign w:val="center"/>
          </w:tcPr>
          <w:p>
            <w:pPr>
              <w:pStyle w:val="TableText"/>
              <w:jc w:val="left"/>
            </w:pPr>
            <w:r>
              <w:rPr>
                <w:b/>
              </w:rPr>
              <w:t>DOCUMENT</w:t>
            </w:r>
          </w:p>
        </w:tc>
        <w:tc>
          <w:tcPr>
            <w:tcW w:type="dxa" w:w="6123"/>
            <w:tcMar>
              <w:top w:w="90" w:type="dxa"/>
              <w:start w:w="120" w:type="dxa"/>
              <w:bottom w:w="90" w:type="dxa"/>
              <w:end w:w="120" w:type="dxa"/>
            </w:tcMar>
            <w:vAlign w:val="center"/>
          </w:tcPr>
          <w:p>
            <w:pPr>
              <w:pStyle w:val="TableText"/>
              <w:jc w:val="left"/>
            </w:pPr>
            <w:r>
              <w:t>Conditions générales de vente et de prestations</w:t>
            </w:r>
          </w:p>
        </w:tc>
      </w:tr>
      <w:tr>
        <w:tc>
          <w:tcPr>
            <w:tcW w:type="dxa" w:w="2438"/>
            <w:shd w:fill="F5F7FA"/>
            <w:tcMar>
              <w:top w:w="90" w:type="dxa"/>
              <w:start w:w="120" w:type="dxa"/>
              <w:bottom w:w="90" w:type="dxa"/>
              <w:end w:w="120" w:type="dxa"/>
            </w:tcMar>
            <w:vAlign w:val="center"/>
          </w:tcPr>
          <w:p>
            <w:pPr>
              <w:pStyle w:val="TableText"/>
              <w:jc w:val="left"/>
            </w:pPr>
            <w:r>
              <w:rPr>
                <w:b/>
              </w:rPr>
              <w:t>DESTINATAIRES</w:t>
            </w:r>
          </w:p>
        </w:tc>
        <w:tc>
          <w:tcPr>
            <w:tcW w:type="dxa" w:w="6123"/>
            <w:tcMar>
              <w:top w:w="90" w:type="dxa"/>
              <w:start w:w="120" w:type="dxa"/>
              <w:bottom w:w="90" w:type="dxa"/>
              <w:end w:w="120" w:type="dxa"/>
            </w:tcMar>
            <w:vAlign w:val="center"/>
          </w:tcPr>
          <w:p>
            <w:pPr>
              <w:pStyle w:val="TableText"/>
              <w:jc w:val="left"/>
            </w:pPr>
            <w:r>
              <w:t>Professionnels, personnes publiques, syndics et syndicats de copropriétaires</w:t>
            </w:r>
          </w:p>
        </w:tc>
      </w:tr>
      <w:tr>
        <w:tc>
          <w:tcPr>
            <w:tcW w:type="dxa" w:w="2438"/>
            <w:shd w:fill="F5F7FA"/>
            <w:tcMar>
              <w:top w:w="90" w:type="dxa"/>
              <w:start w:w="120" w:type="dxa"/>
              <w:bottom w:w="90" w:type="dxa"/>
              <w:end w:w="120" w:type="dxa"/>
            </w:tcMar>
            <w:vAlign w:val="center"/>
          </w:tcPr>
          <w:p>
            <w:pPr>
              <w:pStyle w:val="TableText"/>
              <w:jc w:val="left"/>
            </w:pPr>
            <w:r>
              <w:rPr>
                <w:b/>
              </w:rPr>
              <w:t>VERSION</w:t>
            </w:r>
          </w:p>
        </w:tc>
        <w:tc>
          <w:tcPr>
            <w:tcW w:type="dxa" w:w="6123"/>
            <w:tcMar>
              <w:top w:w="90" w:type="dxa"/>
              <w:start w:w="120" w:type="dxa"/>
              <w:bottom w:w="90" w:type="dxa"/>
              <w:end w:w="120" w:type="dxa"/>
            </w:tcMar>
            <w:vAlign w:val="center"/>
          </w:tcPr>
          <w:p>
            <w:pPr>
              <w:pStyle w:val="TableText"/>
              <w:jc w:val="left"/>
            </w:pPr>
            <w:r>
              <w:t>30 juillet 2026</w:t>
            </w:r>
          </w:p>
        </w:tc>
      </w:tr>
      <w:tr>
        <w:tc>
          <w:tcPr>
            <w:tcW w:type="dxa" w:w="2438"/>
            <w:shd w:fill="F5F7FA"/>
            <w:tcMar>
              <w:top w:w="90" w:type="dxa"/>
              <w:start w:w="120" w:type="dxa"/>
              <w:bottom w:w="90" w:type="dxa"/>
              <w:end w:w="120" w:type="dxa"/>
            </w:tcMar>
            <w:vAlign w:val="center"/>
          </w:tcPr>
          <w:p>
            <w:pPr>
              <w:pStyle w:val="TableText"/>
              <w:jc w:val="left"/>
            </w:pPr>
            <w:r>
              <w:rPr>
                <w:b/>
              </w:rPr>
              <w:t>PUBLICATION</w:t>
            </w:r>
          </w:p>
        </w:tc>
        <w:tc>
          <w:tcPr>
            <w:tcW w:type="dxa" w:w="6123"/>
            <w:tcMar>
              <w:top w:w="90" w:type="dxa"/>
              <w:start w:w="120" w:type="dxa"/>
              <w:bottom w:w="90" w:type="dxa"/>
              <w:end w:w="120" w:type="dxa"/>
            </w:tcMar>
            <w:vAlign w:val="center"/>
          </w:tcPr>
          <w:p>
            <w:pPr>
              <w:pStyle w:val="TableText"/>
              <w:jc w:val="left"/>
            </w:pPr>
            <w:r>
              <w:t>Site internet de VBT AUTOMATISMES et support durable</w:t>
            </w:r>
          </w:p>
        </w:tc>
      </w:tr>
    </w:tbl>
    <w:p>
      <w:pPr>
        <w:spacing w:after="20"/>
        <w:widowControl w:val="true"/>
      </w:pPr>
    </w:p>
    <w:p>
      <w:pPr>
        <w:widowControl w:val="true"/>
      </w:pPr>
    </w:p>
    <w:tbl>
      <w:tblPr>
        <w:tblStyle w:val="TableGrid"/>
        <w:tblW w:type="dxa" w:w="9298"/>
        <w:jc w:val="center"/>
        <w:tblLayout w:type="fixed"/>
        <w:tblLook w:firstColumn="1" w:firstRow="1" w:lastColumn="0" w:lastRow="0" w:noHBand="0" w:noVBand="1" w:val="04A0"/>
        <w:tblInd w:w="120" w:type="dxa"/>
      </w:tblPr>
      <w:tblGrid>
        <w:gridCol w:w="9298"/>
      </w:tblGrid>
      <w:tr>
        <w:tc>
          <w:tcPr>
            <w:tcW w:type="dxa" w:w="9298"/>
            <w:tcMar>
              <w:top w:w="90" w:type="dxa"/>
              <w:start w:w="120" w:type="dxa"/>
              <w:bottom w:w="90" w:type="dxa"/>
              <w:end w:w="120" w:type="dxa"/>
            </w:tcMar>
            <w:vAlign w:val="center"/>
            <w:shd w:fill="EAF0F6"/>
          </w:tcPr>
          <w:p>
            <w:pPr>
              <w:spacing w:after="80"/>
              <w:jc w:val="left"/>
            </w:pPr>
            <w:r>
              <w:rPr>
                <w:b/>
                <w:color w:val="17365D"/>
              </w:rPr>
              <w:t>DOCUMENT CONTRACTUEL DE RÉFÉRENCE</w:t>
            </w:r>
          </w:p>
          <w:p>
            <w:pPr>
              <w:spacing w:after="0"/>
              <w:jc w:val="left"/>
            </w:pPr>
            <w:r>
              <w:t>Les présentes CGV encadrent l’ensemble des ventes, installations et prestations techniques de VBT AUTOMATISMES. Elles sont complétées par le devis, la commande acceptée et, le cas échéant, par un contrat de maintenance.</w:t>
            </w:r>
          </w:p>
        </w:tc>
      </w:tr>
    </w:tbl>
    <w:p>
      <w:pPr>
        <w:spacing w:after="20"/>
        <w:widowControl w:val="true"/>
      </w:pPr>
    </w:p>
    <w:p>
      <w:pPr>
        <w:pStyle w:val="FinePrint"/>
        <w:jc w:val="center"/>
        <w:widowControl w:val="true"/>
      </w:pPr>
      <w:r>
        <w:t>Version en vigueur au 30 juillet 2026</w:t>
      </w:r>
    </w:p>
    <w:p>
      <w:pPr>
        <w:widowControl w:val="true"/>
      </w:pPr>
      <w:r>
        <w:br w:type="page"/>
      </w:r>
    </w:p>
    <w:p>
      <w:pPr>
        <w:pStyle w:val="Title"/>
        <w:jc w:val="left"/>
        <w:widowControl w:val="true"/>
      </w:pPr>
      <w:r>
        <w:t>IDENTIFICATION ET MODE D’EMPLOI</w:t>
      </w:r>
    </w:p>
    <w:p>
      <w:pPr>
        <w:pStyle w:val="ContractLead"/>
        <w:keepLines w:val="0"/>
        <w:jc w:val="both"/>
        <w:widowControl w:val="true"/>
      </w:pPr>
      <w:r>
        <w:t>Les présentes conditions générales de vente, ci-après les « CGV », ont été établies pour les activités réelles de VBT AUTOMATISMES. Elles doivent être communiquées ou rendues accessibles avant la commande et conservées par le Client sur un support durable.</w:t>
      </w:r>
    </w:p>
    <w:tbl>
      <w:tblPr>
        <w:tblStyle w:val="TableGrid"/>
        <w:tblW w:type="dxa" w:w="8561"/>
        <w:jc w:val="center"/>
        <w:tblLayout w:type="fixed"/>
        <w:tblLook w:firstColumn="1" w:firstRow="1" w:lastColumn="0" w:lastRow="0" w:noHBand="0" w:noVBand="1" w:val="04A0"/>
        <w:tblInd w:w="120" w:type="dxa"/>
      </w:tblPr>
      <w:tblGrid>
        <w:gridCol w:w="2268"/>
        <w:gridCol w:w="6293"/>
      </w:tblGrid>
      <w:tr>
        <w:tc>
          <w:tcPr>
            <w:tcW w:type="dxa" w:w="2268"/>
            <w:shd w:fill="F5F7FA"/>
            <w:tcMar>
              <w:top w:w="90" w:type="dxa"/>
              <w:start w:w="120" w:type="dxa"/>
              <w:bottom w:w="90" w:type="dxa"/>
              <w:end w:w="120" w:type="dxa"/>
            </w:tcMar>
            <w:vAlign w:val="center"/>
          </w:tcPr>
          <w:p>
            <w:pPr>
              <w:pStyle w:val="TableText"/>
              <w:jc w:val="left"/>
            </w:pPr>
            <w:r>
              <w:rPr>
                <w:b/>
              </w:rPr>
              <w:t>VBT AUTOMATISMES</w:t>
            </w:r>
          </w:p>
        </w:tc>
        <w:tc>
          <w:tcPr>
            <w:tcW w:type="dxa" w:w="6293"/>
            <w:tcMar>
              <w:top w:w="90" w:type="dxa"/>
              <w:start w:w="120" w:type="dxa"/>
              <w:bottom w:w="90" w:type="dxa"/>
              <w:end w:w="120" w:type="dxa"/>
            </w:tcMar>
            <w:vAlign w:val="center"/>
          </w:tcPr>
          <w:p>
            <w:pPr>
              <w:pStyle w:val="TableText"/>
              <w:jc w:val="left"/>
            </w:pPr>
            <w:r>
              <w:t>EURL (SARL à associé unique) au capital de 1 000 €, SIREN 104 923 545, SIRET 104 923 545 00016, code APE 4329B.</w:t>
            </w:r>
          </w:p>
        </w:tc>
      </w:tr>
      <w:tr>
        <w:tc>
          <w:tcPr>
            <w:tcW w:type="dxa" w:w="2268"/>
            <w:shd w:fill="F5F7FA"/>
            <w:tcMar>
              <w:top w:w="90" w:type="dxa"/>
              <w:start w:w="120" w:type="dxa"/>
              <w:bottom w:w="90" w:type="dxa"/>
              <w:end w:w="120" w:type="dxa"/>
            </w:tcMar>
            <w:vAlign w:val="center"/>
          </w:tcPr>
          <w:p>
            <w:pPr>
              <w:pStyle w:val="TableText"/>
              <w:jc w:val="left"/>
            </w:pPr>
            <w:r>
              <w:rPr>
                <w:b/>
              </w:rPr>
              <w:t>SIÈGE</w:t>
            </w:r>
          </w:p>
        </w:tc>
        <w:tc>
          <w:tcPr>
            <w:tcW w:type="dxa" w:w="6293"/>
            <w:tcMar>
              <w:top w:w="90" w:type="dxa"/>
              <w:start w:w="120" w:type="dxa"/>
              <w:bottom w:w="90" w:type="dxa"/>
              <w:end w:w="120" w:type="dxa"/>
            </w:tcMar>
            <w:vAlign w:val="center"/>
          </w:tcPr>
          <w:p>
            <w:pPr>
              <w:pStyle w:val="TableText"/>
              <w:jc w:val="left"/>
            </w:pPr>
            <w:r>
              <w:t>352 Allée Jean-François Champollion, 13920 Saint-Mitre-les-Remparts.</w:t>
            </w:r>
          </w:p>
        </w:tc>
      </w:tr>
      <w:tr>
        <w:tc>
          <w:tcPr>
            <w:tcW w:type="dxa" w:w="2268"/>
            <w:shd w:fill="F5F7FA"/>
            <w:tcMar>
              <w:top w:w="90" w:type="dxa"/>
              <w:start w:w="120" w:type="dxa"/>
              <w:bottom w:w="90" w:type="dxa"/>
              <w:end w:w="120" w:type="dxa"/>
            </w:tcMar>
            <w:vAlign w:val="center"/>
          </w:tcPr>
          <w:p>
            <w:pPr>
              <w:pStyle w:val="TableText"/>
              <w:jc w:val="left"/>
            </w:pPr>
            <w:r>
              <w:rPr>
                <w:b/>
              </w:rPr>
              <w:t>REPRÉSENTANT</w:t>
            </w:r>
          </w:p>
        </w:tc>
        <w:tc>
          <w:tcPr>
            <w:tcW w:type="dxa" w:w="6293"/>
            <w:tcMar>
              <w:top w:w="90" w:type="dxa"/>
              <w:start w:w="120" w:type="dxa"/>
              <w:bottom w:w="90" w:type="dxa"/>
              <w:end w:w="120" w:type="dxa"/>
            </w:tcMar>
            <w:vAlign w:val="center"/>
          </w:tcPr>
          <w:p>
            <w:pPr>
              <w:pStyle w:val="TableText"/>
              <w:jc w:val="left"/>
            </w:pPr>
            <w:r>
              <w:t>M. Vincent Charles Joseph Benoit, gérant.</w:t>
            </w:r>
          </w:p>
        </w:tc>
      </w:tr>
      <w:tr>
        <w:tc>
          <w:tcPr>
            <w:tcW w:type="dxa" w:w="2268"/>
            <w:shd w:fill="F5F7FA"/>
            <w:tcMar>
              <w:top w:w="90" w:type="dxa"/>
              <w:start w:w="120" w:type="dxa"/>
              <w:bottom w:w="90" w:type="dxa"/>
              <w:end w:w="120" w:type="dxa"/>
            </w:tcMar>
            <w:vAlign w:val="center"/>
          </w:tcPr>
          <w:p>
            <w:pPr>
              <w:pStyle w:val="TableText"/>
              <w:jc w:val="left"/>
            </w:pPr>
            <w:r>
              <w:rPr>
                <w:b/>
              </w:rPr>
              <w:t>CONTACT</w:t>
            </w:r>
          </w:p>
        </w:tc>
        <w:tc>
          <w:tcPr>
            <w:tcW w:type="dxa" w:w="6293"/>
            <w:tcMar>
              <w:top w:w="90" w:type="dxa"/>
              <w:start w:w="120" w:type="dxa"/>
              <w:bottom w:w="90" w:type="dxa"/>
              <w:end w:w="120" w:type="dxa"/>
            </w:tcMar>
            <w:vAlign w:val="center"/>
          </w:tcPr>
          <w:p>
            <w:pPr>
              <w:pStyle w:val="TableText"/>
              <w:jc w:val="left"/>
            </w:pPr>
            <w:r>
              <w:t>07 60 08 21 33 — contact@vbt-automatismes.com</w:t>
            </w:r>
          </w:p>
        </w:tc>
      </w:tr>
      <w:tr>
        <w:tc>
          <w:tcPr>
            <w:tcW w:type="dxa" w:w="2268"/>
            <w:shd w:fill="F5F7FA"/>
            <w:tcMar>
              <w:top w:w="90" w:type="dxa"/>
              <w:start w:w="120" w:type="dxa"/>
              <w:bottom w:w="90" w:type="dxa"/>
              <w:end w:w="120" w:type="dxa"/>
            </w:tcMar>
            <w:vAlign w:val="center"/>
          </w:tcPr>
          <w:p>
            <w:pPr>
              <w:pStyle w:val="TableText"/>
              <w:jc w:val="left"/>
            </w:pPr>
            <w:r>
              <w:rPr>
                <w:b/>
              </w:rPr>
              <w:t>ACTIVITÉS</w:t>
            </w:r>
          </w:p>
        </w:tc>
        <w:tc>
          <w:tcPr>
            <w:tcW w:type="dxa" w:w="6293"/>
            <w:tcMar>
              <w:top w:w="90" w:type="dxa"/>
              <w:start w:w="120" w:type="dxa"/>
              <w:bottom w:w="90" w:type="dxa"/>
              <w:end w:w="120" w:type="dxa"/>
            </w:tcMar>
            <w:vAlign w:val="center"/>
          </w:tcPr>
          <w:p>
            <w:pPr>
              <w:pStyle w:val="TableText"/>
              <w:jc w:val="left"/>
            </w:pPr>
            <w:r>
              <w:t>Automatismes d’accès, fermetures, contrôle d’accès, interphonie, visiophonie, maintenance, dépannage, réparation, installation, modernisation et mise en conformité.</w:t>
            </w:r>
          </w:p>
        </w:tc>
      </w:tr>
    </w:tbl>
    <w:p>
      <w:pPr>
        <w:spacing w:after="20"/>
        <w:widowControl w:val="true"/>
      </w:pPr>
    </w:p>
    <w:tbl>
      <w:tblPr>
        <w:tblStyle w:val="TableGrid"/>
        <w:tblW w:type="dxa" w:w="9298"/>
        <w:jc w:val="center"/>
        <w:tblLayout w:type="fixed"/>
        <w:tblLook w:firstColumn="1" w:firstRow="1" w:lastColumn="0" w:lastRow="0" w:noHBand="0" w:noVBand="1" w:val="04A0"/>
        <w:tblInd w:w="120" w:type="dxa"/>
      </w:tblPr>
      <w:tblGrid>
        <w:gridCol w:w="9298"/>
      </w:tblGrid>
      <w:tr>
        <w:tc>
          <w:tcPr>
            <w:tcW w:type="dxa" w:w="9298"/>
            <w:tcMar>
              <w:top w:w="90" w:type="dxa"/>
              <w:start w:w="120" w:type="dxa"/>
              <w:bottom w:w="90" w:type="dxa"/>
              <w:end w:w="120" w:type="dxa"/>
            </w:tcMar>
            <w:vAlign w:val="center"/>
            <w:shd w:fill="EAF0F6"/>
          </w:tcPr>
          <w:p>
            <w:pPr>
              <w:spacing w:after="80"/>
              <w:jc w:val="left"/>
            </w:pPr>
            <w:r>
              <w:rPr>
                <w:b/>
                <w:color w:val="17365D"/>
              </w:rPr>
              <w:t>PÉRIMÈTRE DE CLIENTÈLE</w:t>
            </w:r>
          </w:p>
          <w:p>
            <w:pPr>
              <w:spacing w:after="0"/>
              <w:jc w:val="left"/>
            </w:pPr>
            <w:r>
              <w:t>Ces CGV sont conçues pour les entreprises, commerces, industries, professionnels, collectivités, personnes publiques, syndics et syndicats de copropriétaires. Elles ne constituent pas des conditions générales destinées aux consommateurs personnes physiques, sauf acceptation expresse et remise des informations précontractuelles impératives correspondantes.</w:t>
            </w:r>
          </w:p>
        </w:tc>
      </w:tr>
    </w:tbl>
    <w:p>
      <w:pPr>
        <w:spacing w:after="20"/>
        <w:widowControl w:val="true"/>
      </w:pPr>
    </w:p>
    <w:p>
      <w:pPr>
        <w:keepLines w:val="0"/>
        <w:jc w:val="both"/>
        <w:widowControl w:val="true"/>
      </w:pPr>
      <w:r>
        <w:t>Les dispositions impératives propres aux marchés publics, aux personnes publiques et aux Clients non-professionnels prévalent lorsqu’elles sont applicables. Les clauses signalées comme réservées aux Clients professionnels ne sont pas opposées aux autres catégories de Clients.</w:t>
      </w:r>
    </w:p>
    <w:p>
      <w:pPr>
        <w:widowControl w:val="true"/>
      </w:pPr>
      <w:r>
        <w:br w:type="page"/>
      </w:r>
    </w:p>
    <w:p>
      <w:pPr>
        <w:pStyle w:val="Title"/>
        <w:jc w:val="left"/>
        <w:widowControl w:val="true"/>
      </w:pPr>
      <w:r>
        <w:t>PARTIE I — CADRE CONTRACTUEL</w:t>
      </w:r>
    </w:p>
    <w:p>
      <w:pPr>
        <w:pStyle w:val="Subtitle"/>
        <w:jc w:val="left"/>
        <w:widowControl w:val="true"/>
      </w:pPr>
      <w:r>
        <w:t>Objet, champ d’application, définitions et formation du contrat</w:t>
      </w:r>
    </w:p>
    <w:p>
      <w:pPr>
        <w:pStyle w:val="Heading1"/>
        <w:jc w:val="left"/>
        <w:numPr>
          <w:ilvl w:val="0"/>
          <w:numId w:val="42"/>
        </w:numPr>
        <w:widowControl w:val="true"/>
      </w:pPr>
      <w:r>
        <w:t>Objet</w:t>
      </w:r>
    </w:p>
    <w:p>
      <w:pPr>
        <w:keepLines w:val="0"/>
        <w:jc w:val="both"/>
        <w:widowControl w:val="true"/>
      </w:pPr>
      <w:r>
        <w:t>Les CGV déterminent les droits et obligations applicables à toute vente de matériels et à toute prestation de VBT AUTOMATISMES, notamment étude, fourniture, installation, remplacement, mise en service, maintenance préventive ou corrective, dépannage, réparation, diagnostic, modernisation, programmation, contrôle d’accès, interphonie, visiophonie et mise en conformité.</w:t>
      </w:r>
    </w:p>
    <w:p>
      <w:pPr>
        <w:keepLines w:val="0"/>
        <w:jc w:val="both"/>
        <w:widowControl w:val="true"/>
      </w:pPr>
      <w:r>
        <w:t>Elles organisent une relation contractuelle adaptée à des équipements techniques dont la disponibilité dépend de leur état initial, de leur environnement, des réseaux, des alimentations, des pièces et de la coopération du Client. Elles ne valent ni garantie permanente de fonctionnement ni engagement général d’astreinte.</w:t>
      </w:r>
    </w:p>
    <w:p>
      <w:pPr>
        <w:pStyle w:val="Heading1"/>
        <w:jc w:val="left"/>
        <w:numPr>
          <w:ilvl w:val="0"/>
          <w:numId w:val="42"/>
        </w:numPr>
        <w:widowControl w:val="true"/>
      </w:pPr>
      <w:r>
        <w:t>Champ d’application</w:t>
      </w:r>
    </w:p>
    <w:p>
      <w:pPr>
        <w:keepLines w:val="0"/>
        <w:jc w:val="both"/>
        <w:widowControl w:val="true"/>
      </w:pPr>
      <w:r>
        <w:t>Les CGV s’appliquent à toute commande passée auprès de VBT AUTOMATISMES par un Client agissant pour les besoins de son activité, de sa mission de service public ou de la gestion d’un immeuble en copropriété. Elles s’appliquent aux interventions sur site, en atelier, à distance et aux fournitures associées.</w:t>
      </w:r>
    </w:p>
    <w:p>
      <w:pPr>
        <w:keepLines w:val="0"/>
        <w:jc w:val="both"/>
        <w:widowControl w:val="true"/>
      </w:pPr>
      <w:r>
        <w:t>Toute dérogation doit résulter d’un écrit accepté par VBT AUTOMATISMES. Les conditions d’achat, cahiers fournisseurs, chartes ou clauses unilatérales du Client ne prévalent qu’en cas d’acceptation expresse identifiant les stipulations écartées.</w:t>
      </w:r>
    </w:p>
    <w:p>
      <w:pPr>
        <w:pStyle w:val="Heading1"/>
        <w:jc w:val="left"/>
        <w:numPr>
          <w:ilvl w:val="0"/>
          <w:numId w:val="42"/>
        </w:numPr>
        <w:widowControl w:val="true"/>
      </w:pPr>
      <w:r>
        <w:t>Catégories de Clients</w:t>
      </w:r>
    </w:p>
    <w:p>
      <w:pPr>
        <w:keepLines w:val="0"/>
        <w:jc w:val="both"/>
        <w:widowControl w:val="true"/>
      </w:pPr>
      <w:r>
        <w:t>Le « Client professionnel » est toute personne physique ou morale commandant dans le cadre de son activité professionnelle. Le « Client public » est une personne morale de droit public ou un acheteur soumis au Code de la commande publique. Le « Syndicat » est un syndicat des copropriétaires représenté par son syndic.</w:t>
      </w:r>
    </w:p>
    <w:p>
      <w:pPr>
        <w:keepLines w:val="0"/>
        <w:jc w:val="both"/>
        <w:widowControl w:val="true"/>
      </w:pPr>
      <w:r>
        <w:t>La catégorie du Client commande l’application des règles de paiement, de reconduction et de compétence. Le Client communique spontanément à VBT AUTOMATISMES toute information nécessaire à cette qualification et à la facturation.</w:t>
      </w:r>
    </w:p>
    <w:p>
      <w:pPr>
        <w:pStyle w:val="Heading1"/>
        <w:jc w:val="left"/>
        <w:numPr>
          <w:ilvl w:val="0"/>
          <w:numId w:val="42"/>
        </w:numPr>
        <w:widowControl w:val="true"/>
      </w:pPr>
      <w:r>
        <w:t>Définitions</w:t>
      </w:r>
    </w:p>
    <w:tbl>
      <w:tblPr>
        <w:tblStyle w:val="TableGrid"/>
        <w:tblW w:type="dxa" w:w="8561"/>
        <w:jc w:val="center"/>
        <w:tblLayout w:type="fixed"/>
        <w:tblLook w:firstColumn="1" w:firstRow="1" w:lastColumn="0" w:lastRow="0" w:noHBand="0" w:noVBand="1" w:val="04A0"/>
        <w:tblInd w:w="120" w:type="dxa"/>
      </w:tblPr>
      <w:tblGrid>
        <w:gridCol w:w="2268"/>
        <w:gridCol w:w="6293"/>
      </w:tblGrid>
      <w:tr>
        <w:trPr>
          <w:tblHeader w:val="true"/>
        </w:trPr>
        <w:tc>
          <w:tcPr>
            <w:tcW w:type="dxa" w:w="2268"/>
            <w:shd w:fill="17365D"/>
            <w:tcMar>
              <w:top w:w="90" w:type="dxa"/>
              <w:start w:w="120" w:type="dxa"/>
              <w:bottom w:w="90" w:type="dxa"/>
              <w:end w:w="120" w:type="dxa"/>
            </w:tcMar>
            <w:vAlign w:val="center"/>
          </w:tcPr>
          <w:p>
            <w:pPr>
              <w:pStyle w:val="TableText"/>
              <w:jc w:val="left"/>
            </w:pPr>
            <w:r>
              <w:rPr>
                <w:b/>
                <w:color w:val="FFFFFF"/>
              </w:rPr>
              <w:t>Terme</w:t>
            </w:r>
          </w:p>
        </w:tc>
        <w:tc>
          <w:tcPr>
            <w:tcW w:type="dxa" w:w="6293"/>
            <w:shd w:fill="17365D"/>
            <w:tcMar>
              <w:top w:w="90" w:type="dxa"/>
              <w:start w:w="120" w:type="dxa"/>
              <w:bottom w:w="90" w:type="dxa"/>
              <w:end w:w="120" w:type="dxa"/>
            </w:tcMar>
            <w:vAlign w:val="center"/>
          </w:tcPr>
          <w:p>
            <w:pPr>
              <w:pStyle w:val="TableText"/>
              <w:jc w:val="left"/>
            </w:pPr>
            <w:r>
              <w:rPr>
                <w:b/>
                <w:color w:val="FFFFFF"/>
              </w:rPr>
              <w:t>Définition</w:t>
            </w:r>
          </w:p>
        </w:tc>
      </w:tr>
      <w:tr>
        <w:tc>
          <w:tcPr>
            <w:tcW w:type="dxa" w:w="2268"/>
            <w:shd w:fill="F5F7FA"/>
            <w:tcMar>
              <w:top w:w="90" w:type="dxa"/>
              <w:start w:w="120" w:type="dxa"/>
              <w:bottom w:w="90" w:type="dxa"/>
              <w:end w:w="120" w:type="dxa"/>
            </w:tcMar>
            <w:vAlign w:val="center"/>
          </w:tcPr>
          <w:p>
            <w:pPr>
              <w:pStyle w:val="TableText"/>
              <w:jc w:val="left"/>
            </w:pPr>
            <w:r>
              <w:rPr>
                <w:b/>
              </w:rPr>
              <w:t>Commande</w:t>
            </w:r>
          </w:p>
        </w:tc>
        <w:tc>
          <w:tcPr>
            <w:tcW w:type="dxa" w:w="6293"/>
            <w:tcMar>
              <w:top w:w="90" w:type="dxa"/>
              <w:start w:w="120" w:type="dxa"/>
              <w:bottom w:w="90" w:type="dxa"/>
              <w:end w:w="120" w:type="dxa"/>
            </w:tcMar>
            <w:vAlign w:val="center"/>
          </w:tcPr>
          <w:p>
            <w:pPr>
              <w:pStyle w:val="TableText"/>
              <w:jc w:val="left"/>
            </w:pPr>
            <w:r>
              <w:t>Devis accepté, bon de commande accepté ou tout écrit établissant l’accord sur les prestations et le prix.</w:t>
            </w:r>
          </w:p>
        </w:tc>
      </w:tr>
      <w:tr>
        <w:tc>
          <w:tcPr>
            <w:tcW w:type="dxa" w:w="2268"/>
            <w:shd w:fill="F5F7FA"/>
            <w:tcMar>
              <w:top w:w="90" w:type="dxa"/>
              <w:start w:w="120" w:type="dxa"/>
              <w:bottom w:w="90" w:type="dxa"/>
              <w:end w:w="120" w:type="dxa"/>
            </w:tcMar>
            <w:vAlign w:val="center"/>
          </w:tcPr>
          <w:p>
            <w:pPr>
              <w:pStyle w:val="TableText"/>
              <w:jc w:val="left"/>
            </w:pPr>
            <w:r>
              <w:rPr>
                <w:b/>
              </w:rPr>
              <w:t>Contrat</w:t>
            </w:r>
          </w:p>
        </w:tc>
        <w:tc>
          <w:tcPr>
            <w:tcW w:type="dxa" w:w="6293"/>
            <w:tcMar>
              <w:top w:w="90" w:type="dxa"/>
              <w:start w:w="120" w:type="dxa"/>
              <w:bottom w:w="90" w:type="dxa"/>
              <w:end w:w="120" w:type="dxa"/>
            </w:tcMar>
            <w:vAlign w:val="center"/>
          </w:tcPr>
          <w:p>
            <w:pPr>
              <w:pStyle w:val="TableText"/>
              <w:jc w:val="left"/>
            </w:pPr>
            <w:r>
              <w:t>Ensemble formé par les documents contractuels hiérarchisés à l’article 5.</w:t>
            </w:r>
          </w:p>
        </w:tc>
      </w:tr>
      <w:tr>
        <w:tc>
          <w:tcPr>
            <w:tcW w:type="dxa" w:w="2268"/>
            <w:shd w:fill="F5F7FA"/>
            <w:tcMar>
              <w:top w:w="90" w:type="dxa"/>
              <w:start w:w="120" w:type="dxa"/>
              <w:bottom w:w="90" w:type="dxa"/>
              <w:end w:w="120" w:type="dxa"/>
            </w:tcMar>
            <w:vAlign w:val="center"/>
          </w:tcPr>
          <w:p>
            <w:pPr>
              <w:pStyle w:val="TableText"/>
              <w:jc w:val="left"/>
            </w:pPr>
            <w:r>
              <w:rPr>
                <w:b/>
              </w:rPr>
              <w:t>Équipement</w:t>
            </w:r>
          </w:p>
        </w:tc>
        <w:tc>
          <w:tcPr>
            <w:tcW w:type="dxa" w:w="6293"/>
            <w:tcMar>
              <w:top w:w="90" w:type="dxa"/>
              <w:start w:w="120" w:type="dxa"/>
              <w:bottom w:w="90" w:type="dxa"/>
              <w:end w:w="120" w:type="dxa"/>
            </w:tcMar>
            <w:vAlign w:val="center"/>
          </w:tcPr>
          <w:p>
            <w:pPr>
              <w:pStyle w:val="TableText"/>
              <w:jc w:val="left"/>
            </w:pPr>
            <w:r>
              <w:t>Porte, portail, barrière, borne, rideau, automatisme, système de commande, contrôle d’accès, interphone, visiophone ou composant concerné.</w:t>
            </w:r>
          </w:p>
        </w:tc>
      </w:tr>
      <w:tr>
        <w:tc>
          <w:tcPr>
            <w:tcW w:type="dxa" w:w="2268"/>
            <w:shd w:fill="F5F7FA"/>
            <w:tcMar>
              <w:top w:w="90" w:type="dxa"/>
              <w:start w:w="120" w:type="dxa"/>
              <w:bottom w:w="90" w:type="dxa"/>
              <w:end w:w="120" w:type="dxa"/>
            </w:tcMar>
            <w:vAlign w:val="center"/>
          </w:tcPr>
          <w:p>
            <w:pPr>
              <w:pStyle w:val="TableText"/>
              <w:jc w:val="left"/>
            </w:pPr>
            <w:r>
              <w:rPr>
                <w:b/>
              </w:rPr>
              <w:t>Site</w:t>
            </w:r>
          </w:p>
        </w:tc>
        <w:tc>
          <w:tcPr>
            <w:tcW w:type="dxa" w:w="6293"/>
            <w:tcMar>
              <w:top w:w="90" w:type="dxa"/>
              <w:start w:w="120" w:type="dxa"/>
              <w:bottom w:w="90" w:type="dxa"/>
              <w:end w:w="120" w:type="dxa"/>
            </w:tcMar>
            <w:vAlign w:val="center"/>
          </w:tcPr>
          <w:p>
            <w:pPr>
              <w:pStyle w:val="TableText"/>
              <w:jc w:val="left"/>
            </w:pPr>
            <w:r>
              <w:t>Lieu d’exécution, y compris chantier, résidence, commerce, usine, parking, local technique ou partie commune.</w:t>
            </w:r>
          </w:p>
        </w:tc>
      </w:tr>
      <w:tr>
        <w:tc>
          <w:tcPr>
            <w:tcW w:type="dxa" w:w="2268"/>
            <w:shd w:fill="F5F7FA"/>
            <w:tcMar>
              <w:top w:w="90" w:type="dxa"/>
              <w:start w:w="120" w:type="dxa"/>
              <w:bottom w:w="90" w:type="dxa"/>
              <w:end w:w="120" w:type="dxa"/>
            </w:tcMar>
            <w:vAlign w:val="center"/>
          </w:tcPr>
          <w:p>
            <w:pPr>
              <w:pStyle w:val="TableText"/>
              <w:jc w:val="left"/>
            </w:pPr>
            <w:r>
              <w:rPr>
                <w:b/>
              </w:rPr>
              <w:t>Prestation</w:t>
            </w:r>
          </w:p>
        </w:tc>
        <w:tc>
          <w:tcPr>
            <w:tcW w:type="dxa" w:w="6293"/>
            <w:tcMar>
              <w:top w:w="90" w:type="dxa"/>
              <w:start w:w="120" w:type="dxa"/>
              <w:bottom w:w="90" w:type="dxa"/>
              <w:end w:w="120" w:type="dxa"/>
            </w:tcMar>
            <w:vAlign w:val="center"/>
          </w:tcPr>
          <w:p>
            <w:pPr>
              <w:pStyle w:val="TableText"/>
              <w:jc w:val="left"/>
            </w:pPr>
            <w:r>
              <w:t>Fourniture, étude, travail, intervention, déplacement ou service commandé.</w:t>
            </w:r>
          </w:p>
        </w:tc>
      </w:tr>
      <w:tr>
        <w:tc>
          <w:tcPr>
            <w:tcW w:type="dxa" w:w="2268"/>
            <w:shd w:fill="F5F7FA"/>
            <w:tcMar>
              <w:top w:w="90" w:type="dxa"/>
              <w:start w:w="120" w:type="dxa"/>
              <w:bottom w:w="90" w:type="dxa"/>
              <w:end w:w="120" w:type="dxa"/>
            </w:tcMar>
            <w:vAlign w:val="center"/>
          </w:tcPr>
          <w:p>
            <w:pPr>
              <w:pStyle w:val="TableText"/>
              <w:jc w:val="left"/>
            </w:pPr>
            <w:r>
              <w:rPr>
                <w:b/>
              </w:rPr>
              <w:t>Réception</w:t>
            </w:r>
          </w:p>
        </w:tc>
        <w:tc>
          <w:tcPr>
            <w:tcW w:type="dxa" w:w="6293"/>
            <w:tcMar>
              <w:top w:w="90" w:type="dxa"/>
              <w:start w:w="120" w:type="dxa"/>
              <w:bottom w:w="90" w:type="dxa"/>
              <w:end w:w="120" w:type="dxa"/>
            </w:tcMar>
            <w:vAlign w:val="center"/>
          </w:tcPr>
          <w:p>
            <w:pPr>
              <w:pStyle w:val="TableText"/>
              <w:jc w:val="left"/>
            </w:pPr>
            <w:r>
              <w:t>Acte contradictoire ou comportement non équivoque par lequel le Client accepte les travaux, avec ou sans réserves.</w:t>
            </w:r>
          </w:p>
        </w:tc>
      </w:tr>
      <w:tr>
        <w:tc>
          <w:tcPr>
            <w:tcW w:type="dxa" w:w="2268"/>
            <w:shd w:fill="F5F7FA"/>
            <w:tcMar>
              <w:top w:w="90" w:type="dxa"/>
              <w:start w:w="120" w:type="dxa"/>
              <w:bottom w:w="90" w:type="dxa"/>
              <w:end w:w="120" w:type="dxa"/>
            </w:tcMar>
            <w:vAlign w:val="center"/>
          </w:tcPr>
          <w:p>
            <w:pPr>
              <w:pStyle w:val="TableText"/>
              <w:jc w:val="left"/>
            </w:pPr>
            <w:r>
              <w:rPr>
                <w:b/>
              </w:rPr>
              <w:t>Jour ouvré</w:t>
            </w:r>
          </w:p>
        </w:tc>
        <w:tc>
          <w:tcPr>
            <w:tcW w:type="dxa" w:w="6293"/>
            <w:tcMar>
              <w:top w:w="90" w:type="dxa"/>
              <w:start w:w="120" w:type="dxa"/>
              <w:bottom w:w="90" w:type="dxa"/>
              <w:end w:w="120" w:type="dxa"/>
            </w:tcMar>
            <w:vAlign w:val="center"/>
          </w:tcPr>
          <w:p>
            <w:pPr>
              <w:pStyle w:val="TableText"/>
              <w:jc w:val="left"/>
            </w:pPr>
            <w:r>
              <w:t>Du lundi au vendredi, hors jours fériés au lieu d’exécution.</w:t>
            </w:r>
          </w:p>
        </w:tc>
      </w:tr>
    </w:tbl>
    <w:p>
      <w:pPr>
        <w:spacing w:after="20"/>
        <w:widowControl w:val="true"/>
      </w:pPr>
    </w:p>
    <w:p>
      <w:pPr>
        <w:pStyle w:val="Heading1"/>
        <w:jc w:val="left"/>
        <w:numPr>
          <w:ilvl w:val="0"/>
          <w:numId w:val="42"/>
        </w:numPr>
        <w:widowControl w:val="true"/>
      </w:pPr>
      <w:r>
        <w:t>Documents contractuels et hiérarchie</w:t>
      </w:r>
    </w:p>
    <w:p>
      <w:pPr>
        <w:keepLines w:val="0"/>
        <w:jc w:val="both"/>
        <w:widowControl w:val="true"/>
      </w:pPr>
      <w:r>
        <w:t>En cas de contradiction, les documents prévalent dans l’ordre suivant : conditions particulières ou marché signé ; contrat de maintenance ; devis accepté et avenants ; bon de commande accepté ; présentes CGV ; notices et documents techniques. Un document de rang supérieur n’écarte un document inférieur que sur le point incompatible.</w:t>
      </w:r>
    </w:p>
    <w:p>
      <w:pPr>
        <w:keepLines w:val="0"/>
        <w:jc w:val="both"/>
        <w:widowControl w:val="true"/>
      </w:pPr>
      <w:r>
        <w:t>Les plans, descriptifs et quantitatifs remis avant commande sont établis d’après les informations disponibles. Les tolérances techniques, adaptations de pose et équivalences n’altérant pas les fonctions essentielles ne constituent pas une contradiction.</w:t>
      </w:r>
    </w:p>
    <w:p>
      <w:pPr>
        <w:pStyle w:val="Heading1"/>
        <w:jc w:val="left"/>
        <w:numPr>
          <w:ilvl w:val="0"/>
          <w:numId w:val="42"/>
        </w:numPr>
        <w:widowControl w:val="true"/>
      </w:pPr>
      <w:r>
        <w:t>Information précontractuelle et conseil</w:t>
      </w:r>
    </w:p>
    <w:p>
      <w:pPr>
        <w:keepLines w:val="0"/>
        <w:jc w:val="both"/>
        <w:widowControl w:val="true"/>
      </w:pPr>
      <w:r>
        <w:t>VBT AUTOMATISMES renseigne le Client sur les caractéristiques essentielles connues de la solution proposée, dans les limites de la mission commandée et des informations accessibles. Le Client expose précisément ses besoins, contraintes d’usage, exigences de sécurité, flux, interfaces, normes internes et conditions du Site.</w:t>
      </w:r>
    </w:p>
    <w:p>
      <w:pPr>
        <w:keepLines w:val="0"/>
        <w:jc w:val="both"/>
        <w:widowControl w:val="true"/>
      </w:pPr>
      <w:r>
        <w:t>Le devoir de conseil ne dispense pas le Client, professionnel de son activité ou gestionnaire du Site, de vérifier l’adéquation de ses propres processus, réseaux, ouvrages et règles d’exploitation. Toute étude réglementaire exhaustive, audit de conformité global ou mission de maîtrise d’œuvre doit être expressément commandé.</w:t>
      </w:r>
    </w:p>
    <w:p>
      <w:pPr>
        <w:pStyle w:val="Heading1"/>
        <w:jc w:val="left"/>
        <w:numPr>
          <w:ilvl w:val="0"/>
          <w:numId w:val="42"/>
        </w:numPr>
        <w:widowControl w:val="true"/>
      </w:pPr>
      <w:r>
        <w:t>Formation du contrat</w:t>
      </w:r>
    </w:p>
    <w:p>
      <w:pPr>
        <w:keepLines w:val="0"/>
        <w:jc w:val="both"/>
        <w:widowControl w:val="true"/>
      </w:pPr>
      <w:r>
        <w:t>Le Contrat est formé à la date de réception par VBT AUTOMATISMES du devis signé sans réserve, de l’accord électronique non équivoque ou du bon de commande accepté, sous réserve du versement de l’acompte demandé. Le commencement d’exécution sollicité ou accepté par le Client peut également établir son consentement.</w:t>
      </w:r>
    </w:p>
    <w:p>
      <w:pPr>
        <w:keepLines w:val="0"/>
        <w:jc w:val="both"/>
        <w:widowControl w:val="true"/>
      </w:pPr>
      <w:r>
        <w:t>Une commande assortie de modifications, réserves ou conditions nouvelles constitue une contre-proposition. VBT AUTOMATISMES demeure libre de l’accepter ou de la refuser. L’absence de réponse ne vaut jamais acceptation.</w:t>
      </w:r>
    </w:p>
    <w:p>
      <w:pPr>
        <w:pStyle w:val="Heading1"/>
        <w:jc w:val="left"/>
        <w:numPr>
          <w:ilvl w:val="0"/>
          <w:numId w:val="42"/>
        </w:numPr>
        <w:widowControl w:val="true"/>
      </w:pPr>
      <w:r>
        <w:t>Contrats conclus par le syndic</w:t>
      </w:r>
    </w:p>
    <w:p>
      <w:pPr>
        <w:keepLines w:val="0"/>
        <w:jc w:val="both"/>
        <w:widowControl w:val="true"/>
      </w:pPr>
      <w:r>
        <w:t>Le syndic déclare agir au nom du Syndicat dans la limite de ses pouvoirs légaux, réglementaires et conventionnels. Il indique les autorisations obtenues et identifie les travaux nécessitant une décision d’assemblée générale. Le Contrat est conclu avec le Syndicat, non avec le syndic à titre personnel.</w:t>
      </w:r>
    </w:p>
    <w:p>
      <w:pPr>
        <w:keepLines w:val="0"/>
        <w:jc w:val="both"/>
        <w:widowControl w:val="true"/>
      </w:pPr>
      <w:r>
        <w:t>Le changement de syndic n’affecte pas le Contrat. Le syndic sortant transmet à son successeur les devis, commandes, factures, rapports, notices, codes et informations nécessaires à la continuité des prestations.</w:t>
      </w:r>
    </w:p>
    <w:p>
      <w:pPr>
        <w:pStyle w:val="Heading1"/>
        <w:jc w:val="left"/>
        <w:numPr>
          <w:ilvl w:val="0"/>
          <w:numId w:val="42"/>
        </w:numPr>
        <w:widowControl w:val="true"/>
      </w:pPr>
      <w:r>
        <w:t>Clients publics</w:t>
      </w:r>
    </w:p>
    <w:p>
      <w:pPr>
        <w:keepLines w:val="0"/>
        <w:jc w:val="both"/>
        <w:widowControl w:val="true"/>
      </w:pPr>
      <w:r>
        <w:t>Pour un Client public, les pièces du marché et les dispositions impératives de la commande publique prévalent. Les CGV s’appliquent à titre complémentaire dans la mesure de leur compatibilité. Toute prestation supplémentaire requiert l’acte ou l’ordre de service prévu par le marché.</w:t>
      </w:r>
    </w:p>
    <w:p>
      <w:pPr>
        <w:keepLines w:val="0"/>
        <w:jc w:val="both"/>
        <w:widowControl w:val="true"/>
      </w:pPr>
      <w:r>
        <w:t>Le Client public communique les références d’engagement, la plateforme de facturation, le service fait et les mentions nécessaires. Les retards dus à une information ou validation manquante prolongent les délais d’exécution sans engager VBT AUTOMATISMES.</w:t>
      </w:r>
    </w:p>
    <w:p>
      <w:pPr>
        <w:widowControl w:val="true"/>
      </w:pPr>
      <w:r>
        <w:br w:type="page"/>
      </w:r>
    </w:p>
    <w:p>
      <w:pPr>
        <w:pStyle w:val="Title"/>
        <w:jc w:val="left"/>
        <w:widowControl w:val="true"/>
      </w:pPr>
      <w:r>
        <w:t>PARTIE II — DEVIS, COMMANDE ET PRIX</w:t>
      </w:r>
    </w:p>
    <w:p>
      <w:pPr>
        <w:pStyle w:val="Subtitle"/>
        <w:jc w:val="left"/>
        <w:widowControl w:val="true"/>
      </w:pPr>
      <w:r>
        <w:t>Validité des offres, modifications, annulation, facturation et paiement</w:t>
      </w:r>
    </w:p>
    <w:p>
      <w:pPr>
        <w:pStyle w:val="Heading1"/>
        <w:jc w:val="left"/>
        <w:numPr>
          <w:ilvl w:val="0"/>
          <w:numId w:val="42"/>
        </w:numPr>
        <w:widowControl w:val="true"/>
      </w:pPr>
      <w:r>
        <w:t>Établissement des devis</w:t>
      </w:r>
    </w:p>
    <w:p>
      <w:pPr>
        <w:keepLines w:val="0"/>
        <w:jc w:val="both"/>
        <w:widowControl w:val="true"/>
      </w:pPr>
      <w:r>
        <w:t>Les devis décrivent les prestations incluses à partir des constatations possibles et des informations remises. Sauf mention contraire, le diagnostic, les démontages exploratoires, les plans d’exécution détaillés, les moyens d’accès spéciaux, la dépose d’amiante, le génie civil, la peinture, le câblage en amont, les reprises de réseau et les contrôles par organisme tiers ne sont pas inclus.</w:t>
      </w:r>
    </w:p>
    <w:p>
      <w:pPr>
        <w:keepLines w:val="0"/>
        <w:jc w:val="both"/>
        <w:widowControl w:val="true"/>
      </w:pPr>
      <w:r>
        <w:t>Un devis peut être subordonné à une visite, à des mesures ou à la communication de documents. Si une condition cachée ou une différence substantielle apparaît, VBT AUTOMATISMES suspend la partie concernée et propose un complément ou une solution adaptée.</w:t>
      </w:r>
    </w:p>
    <w:p>
      <w:pPr>
        <w:pStyle w:val="Heading1"/>
        <w:jc w:val="left"/>
        <w:numPr>
          <w:ilvl w:val="0"/>
          <w:numId w:val="42"/>
        </w:numPr>
        <w:widowControl w:val="true"/>
      </w:pPr>
      <w:r>
        <w:t>Validité des devis</w:t>
      </w:r>
    </w:p>
    <w:p>
      <w:pPr>
        <w:keepLines w:val="0"/>
        <w:jc w:val="both"/>
        <w:widowControl w:val="true"/>
      </w:pPr>
      <w:r>
        <w:t>Sauf durée différente indiquée, le devis est valable trente jours calendaires. Passé ce délai, VBT AUTOMATISMES peut confirmer, actualiser ou retirer son offre, notamment en cas d’évolution des prix, taxes, délais fournisseurs, disponibilités ou normes.</w:t>
      </w:r>
    </w:p>
    <w:p>
      <w:pPr>
        <w:keepLines w:val="0"/>
        <w:jc w:val="both"/>
        <w:widowControl w:val="true"/>
      </w:pPr>
      <w:r>
        <w:t>La réservation d’un créneau, d’une pièce ou d’un matériel n’est acquise qu’après formation du Contrat et encaissement de l’acompte. Les délais communiqués avant cette date ne constituent qu’une estimation.</w:t>
      </w:r>
    </w:p>
    <w:p>
      <w:pPr>
        <w:pStyle w:val="Heading1"/>
        <w:jc w:val="left"/>
        <w:numPr>
          <w:ilvl w:val="0"/>
          <w:numId w:val="42"/>
        </w:numPr>
        <w:widowControl w:val="true"/>
      </w:pPr>
      <w:r>
        <w:t>Commande</w:t>
      </w:r>
    </w:p>
    <w:p>
      <w:pPr>
        <w:keepLines w:val="0"/>
        <w:jc w:val="both"/>
        <w:widowControl w:val="true"/>
      </w:pPr>
      <w:r>
        <w:t>La Commande doit identifier le devis, le Client, le Site, l’adresse de facturation, le signataire habilité et les références administratives utiles. Le Client vérifie les quantités, caractéristiques, sens d’ouverture, dimensions, coloris, tensions, interfaces, options et exclusions.</w:t>
      </w:r>
    </w:p>
    <w:p>
      <w:pPr>
        <w:keepLines w:val="0"/>
        <w:jc w:val="both"/>
        <w:widowControl w:val="true"/>
      </w:pPr>
      <w:r>
        <w:t>VBT AUTOMATISMES peut demander tout justificatif de pouvoir ou de solvabilité raisonnablement nécessaire. Elle peut refuser une Commande incompatible avec la sécurité, la réglementation, ses capacités techniques, un impayé antérieur ou des conditions d’exécution anormales.</w:t>
      </w:r>
    </w:p>
    <w:p>
      <w:pPr>
        <w:pStyle w:val="Heading1"/>
        <w:jc w:val="left"/>
        <w:numPr>
          <w:ilvl w:val="0"/>
          <w:numId w:val="42"/>
        </w:numPr>
        <w:widowControl w:val="true"/>
      </w:pPr>
      <w:r>
        <w:t>Modification de commande</w:t>
      </w:r>
    </w:p>
    <w:p>
      <w:pPr>
        <w:keepLines w:val="0"/>
        <w:jc w:val="both"/>
        <w:widowControl w:val="true"/>
      </w:pPr>
      <w:r>
        <w:t>Toute modification doit être demandée par écrit et acceptée par VBT AUTOMATISMES. Elle peut entraîner un nouveau prix, un acompte complémentaire et un nouveau calendrier. Les travaux modifiés ne débutent qu’après accord sur leurs conséquences.</w:t>
      </w:r>
    </w:p>
    <w:p>
      <w:pPr>
        <w:keepLines w:val="0"/>
        <w:jc w:val="both"/>
        <w:widowControl w:val="true"/>
      </w:pPr>
      <w:r>
        <w:t>Lorsque la modification impose de reprendre des études, de remplacer une pièce déjà commandée, de déplacer une équipe ou d’annuler un approvisionnement, les coûts correspondants sont facturés. Une instruction orale de Site n’engage VBT AUTOMATISMES que si elle est confirmée par une personne habilitée.</w:t>
      </w:r>
    </w:p>
    <w:p>
      <w:pPr>
        <w:pStyle w:val="Heading1"/>
        <w:jc w:val="left"/>
        <w:numPr>
          <w:ilvl w:val="0"/>
          <w:numId w:val="42"/>
        </w:numPr>
        <w:widowControl w:val="true"/>
      </w:pPr>
      <w:r>
        <w:t>Annulation et report à l’initiative du Client</w:t>
      </w:r>
    </w:p>
    <w:p>
      <w:pPr>
        <w:keepLines w:val="0"/>
        <w:jc w:val="both"/>
        <w:widowControl w:val="true"/>
      </w:pPr>
      <w:r>
        <w:t>En cas d’annulation après formation du Contrat, le Client règle les études et prestations réalisées, les matériels fabriqués ou commandés, les engagements non résiliables, les frais de retour, de stockage, de déplacement et de démobilisation. L’acompte s’impute sur ces sommes et n’est pas automatiquement remboursable.</w:t>
      </w:r>
    </w:p>
    <w:p>
      <w:pPr>
        <w:keepLines w:val="0"/>
        <w:jc w:val="both"/>
        <w:widowControl w:val="true"/>
      </w:pPr>
      <w:r>
        <w:t>Pour un Client professionnel, une indemnité contractuelle égale à quinze pour cent de la partie HT annulée est en outre due au titre des coûts de planification, d’administration et de capacité immobilisée, sans préjudice d’un préjudice supérieur justifié. Pour un Syndicat non-professionnel, seuls les coûts et préjudices raisonnables effectivement supportés peuvent être réclamés.</w:t>
      </w:r>
    </w:p>
    <w:p>
      <w:pPr>
        <w:keepLines w:val="0"/>
        <w:jc w:val="both"/>
        <w:widowControl w:val="true"/>
      </w:pPr>
      <w:r>
        <w:t>Un report demandé moins de deux Jours ouvrés avant une intervention peut donner lieu à facturation du déplacement, du temps réservé et des locations engagées. Le nouveau créneau dépend des disponibilités de VBT AUTOMATISMES.</w:t>
      </w:r>
    </w:p>
    <w:p>
      <w:pPr>
        <w:pStyle w:val="Heading1"/>
        <w:jc w:val="left"/>
        <w:numPr>
          <w:ilvl w:val="0"/>
          <w:numId w:val="42"/>
        </w:numPr>
        <w:widowControl w:val="true"/>
      </w:pPr>
      <w:r>
        <w:t>Prix</w:t>
      </w:r>
    </w:p>
    <w:p>
      <w:pPr>
        <w:keepLines w:val="0"/>
        <w:jc w:val="both"/>
        <w:widowControl w:val="true"/>
      </w:pPr>
      <w:r>
        <w:t>Les prix sont exprimés en euros hors taxes, sauf indication contraire. Ils correspondent au périmètre, aux horaires, aux conditions d’accès et aux quantités connus. S’ajoutent la TVA au taux en vigueur et, s’ils ne sont pas inclus, les frais de déplacement, port, manutention, stationnement, péage, location, évacuation et moyens d’accès.</w:t>
      </w:r>
    </w:p>
    <w:p>
      <w:pPr>
        <w:keepLines w:val="0"/>
        <w:jc w:val="both"/>
        <w:widowControl w:val="true"/>
      </w:pPr>
      <w:r>
        <w:t>Les interventions de nuit, de week-end, les astreintes, demandes urgentes, travaux en hauteur, procédures de sécurité renforcées, temps d’attente et contraintes non signalées sont facturés selon le devis ou le tarif communiqué.</w:t>
      </w:r>
    </w:p>
    <w:p>
      <w:pPr>
        <w:keepLines w:val="0"/>
        <w:jc w:val="both"/>
        <w:widowControl w:val="true"/>
      </w:pPr>
      <w:r>
        <w:t>La diversité des configurations, matériels, accès et contraintes ne permet pas un barème exhaustif unique. Les prix des prestations standardisées peuvent être communiqués sur demande ; les autres prix sont déterminés par devis.</w:t>
      </w:r>
    </w:p>
    <w:p>
      <w:pPr>
        <w:pStyle w:val="Heading1"/>
        <w:jc w:val="left"/>
        <w:numPr>
          <w:ilvl w:val="0"/>
          <w:numId w:val="42"/>
        </w:numPr>
        <w:widowControl w:val="true"/>
      </w:pPr>
      <w:r>
        <w:t>Réductions de prix</w:t>
      </w:r>
    </w:p>
    <w:p>
      <w:pPr>
        <w:keepLines w:val="0"/>
        <w:jc w:val="both"/>
        <w:widowControl w:val="true"/>
      </w:pPr>
      <w:r>
        <w:t>Aucune remise, ristourne ou réduction n’est acquise sauf mention du devis, accord-cadre ou condition catégorielle communiquée. Elle peut dépendre du volume, du regroupement d’interventions, de la durée d’engagement, de la standardisation du Site ou de contreparties réelles.</w:t>
      </w:r>
    </w:p>
    <w:p>
      <w:pPr>
        <w:keepLines w:val="0"/>
        <w:jc w:val="both"/>
        <w:widowControl w:val="true"/>
      </w:pPr>
      <w:r>
        <w:t>Une réduction conditionnelle n’est définitivement acquise qu’après exécution de ses conditions et paiement des factures concernées. Elle ne se cumule pas avec un autre avantage sauf stipulation expresse.</w:t>
      </w:r>
    </w:p>
    <w:p>
      <w:pPr>
        <w:pStyle w:val="Heading1"/>
        <w:jc w:val="left"/>
        <w:numPr>
          <w:ilvl w:val="0"/>
          <w:numId w:val="42"/>
        </w:numPr>
        <w:widowControl w:val="true"/>
      </w:pPr>
      <w:r>
        <w:t>TVA, taxes et contributions</w:t>
      </w:r>
    </w:p>
    <w:p>
      <w:pPr>
        <w:keepLines w:val="0"/>
        <w:jc w:val="both"/>
        <w:widowControl w:val="true"/>
      </w:pPr>
      <w:r>
        <w:t>La TVA et toute taxe, contribution environnementale, droit de douane ou charge obligatoire sont facturés au taux applicable à la date d’exigibilité. Le Client remet en temps utile les attestations nécessaires à un taux réduit ; il supporte les conséquences d’une déclaration inexacte.</w:t>
      </w:r>
    </w:p>
    <w:p>
      <w:pPr>
        <w:keepLines w:val="0"/>
        <w:jc w:val="both"/>
        <w:widowControl w:val="true"/>
      </w:pPr>
      <w:r>
        <w:t>Une modification légale de taxe s’applique de plein droit à la part non encore facturée, sans constituer une modification de prix imputable à VBT AUTOMATISMES.</w:t>
      </w:r>
    </w:p>
    <w:p>
      <w:pPr>
        <w:pStyle w:val="Heading1"/>
        <w:jc w:val="left"/>
        <w:numPr>
          <w:ilvl w:val="0"/>
          <w:numId w:val="42"/>
        </w:numPr>
        <w:widowControl w:val="true"/>
      </w:pPr>
      <w:r>
        <w:t>Révision et actualisation des prix</w:t>
      </w:r>
    </w:p>
    <w:p>
      <w:pPr>
        <w:keepLines w:val="0"/>
        <w:jc w:val="both"/>
        <w:widowControl w:val="true"/>
      </w:pPr>
      <w:r>
        <w:t>Les prix sont fermes pendant la validité du devis. Lorsque l’exécution est différée de plus de soixante jours pour une cause imputable au Client, VBT AUTOMATISMES peut actualiser la part restant à exécuter selon l’indice prévu au devis ou, à défaut, selon l’évolution documentée des coûts de matériel, transport et main-d’œuvre.</w:t>
      </w:r>
    </w:p>
    <w:p>
      <w:pPr>
        <w:keepLines w:val="0"/>
        <w:jc w:val="both"/>
        <w:widowControl w:val="true"/>
      </w:pPr>
      <w:r>
        <w:t>Pour les contrats à exécution successive, le prix peut être révisé à chaque échéance selon la formule ou l’indice convenu. À défaut de formule, VBT AUTOMATISMES notifie le nouveau prix avant le renouvellement ; le Client peut s’opposer au renouvellement dans le délai contractuel.</w:t>
      </w:r>
    </w:p>
    <w:p>
      <w:pPr>
        <w:pStyle w:val="Heading1"/>
        <w:jc w:val="left"/>
        <w:numPr>
          <w:ilvl w:val="0"/>
          <w:numId w:val="42"/>
        </w:numPr>
        <w:widowControl w:val="true"/>
      </w:pPr>
      <w:r>
        <w:t>Acompte</w:t>
      </w:r>
    </w:p>
    <w:p>
      <w:pPr>
        <w:keepLines w:val="0"/>
        <w:jc w:val="both"/>
        <w:widowControl w:val="true"/>
      </w:pPr>
      <w:r>
        <w:t>Sauf stipulation différente, un acompte de quarante pour cent du montant TTC est exigible à la Commande. Il constitue un premier paiement ferme et non des arrhes. VBT AUTOMATISMES n’est tenue ni de commander les matériels ni de réserver un créneau avant son encaissement.</w:t>
      </w:r>
    </w:p>
    <w:p>
      <w:pPr>
        <w:keepLines w:val="0"/>
        <w:jc w:val="both"/>
        <w:widowControl w:val="true"/>
      </w:pPr>
      <w:r>
        <w:t>Des appels complémentaires peuvent être prévus à la livraison, au démarrage ou selon l’avancement. Le solde est exigible à la Réception ou à la date prévue au devis, indépendamment de la levée de réserves mineures n’empêchant pas l’usage.</w:t>
      </w:r>
    </w:p>
    <w:p>
      <w:pPr>
        <w:pStyle w:val="Heading1"/>
        <w:jc w:val="left"/>
        <w:numPr>
          <w:ilvl w:val="0"/>
          <w:numId w:val="42"/>
        </w:numPr>
        <w:widowControl w:val="true"/>
      </w:pPr>
      <w:r>
        <w:t>Facturation</w:t>
      </w:r>
    </w:p>
    <w:p>
      <w:pPr>
        <w:keepLines w:val="0"/>
        <w:jc w:val="both"/>
        <w:widowControl w:val="true"/>
      </w:pPr>
      <w:r>
        <w:t>Les factures sont émises selon l’échéancier du devis, l’avancement, la livraison, l’intervention ou la périodicité convenue. Elles sont transmises électroniquement, sous réserve des règles propres aux Clients publics. Le Client signale immédiatement toute erreur de destinataire ou de référence.</w:t>
      </w:r>
    </w:p>
    <w:p>
      <w:pPr>
        <w:keepLines w:val="0"/>
        <w:jc w:val="both"/>
        <w:widowControl w:val="true"/>
      </w:pPr>
      <w:r>
        <w:t>Une contestation motivée doit identifier la facture, le montant et les raisons précises. Elle ne suspend pas le paiement de la partie non contestée. Aucune compensation ou retenue unilatérale n’est admise sauf créance certaine, liquide et exigible ou disposition impérative.</w:t>
      </w:r>
    </w:p>
    <w:p>
      <w:pPr>
        <w:pStyle w:val="Heading1"/>
        <w:jc w:val="left"/>
        <w:numPr>
          <w:ilvl w:val="0"/>
          <w:numId w:val="42"/>
        </w:numPr>
        <w:widowControl w:val="true"/>
      </w:pPr>
      <w:r>
        <w:t>Conditions de paiement</w:t>
      </w:r>
    </w:p>
    <w:p>
      <w:pPr>
        <w:keepLines w:val="0"/>
        <w:jc w:val="both"/>
        <w:widowControl w:val="true"/>
      </w:pPr>
      <w:r>
        <w:t>Sauf stipulation particulière, les factures sont payables comptant à réception et avant intervention lorsque le devis le prévoit. Un délai convenu avec un Client professionnel ne peut excéder les plafonds légaux. Le paiement est réalisé par virement sur le compte indiqué, sans escompte pour paiement anticipé.</w:t>
      </w:r>
    </w:p>
    <w:p>
      <w:pPr>
        <w:keepLines w:val="0"/>
        <w:jc w:val="both"/>
        <w:widowControl w:val="true"/>
      </w:pPr>
      <w:r>
        <w:t>Le paiement n’est libératoire qu’à encaissement effectif. Les frais bancaires, rejets et incidents sont à la charge du Client. VBT AUTOMATISMES peut demander des garanties ou un paiement anticipé en présence d’un risque de crédit objectivement établi.</w:t>
      </w:r>
    </w:p>
    <w:p>
      <w:pPr>
        <w:pStyle w:val="Heading1"/>
        <w:jc w:val="left"/>
        <w:numPr>
          <w:ilvl w:val="0"/>
          <w:numId w:val="42"/>
        </w:numPr>
        <w:widowControl w:val="true"/>
      </w:pPr>
      <w:r>
        <w:t>Retard de paiement des Clients professionnels</w:t>
      </w:r>
    </w:p>
    <w:p>
      <w:pPr>
        <w:keepLines w:val="0"/>
        <w:jc w:val="both"/>
        <w:widowControl w:val="true"/>
      </w:pPr>
      <w:r>
        <w:t>Toute somme non payée à l’échéance par un Client professionnel porte, de plein droit et sans rappel, pénalités au taux appliqué par la Banque centrale européenne à son opération de refinancement la plus récente, majoré de dix points de pourcentage, sans pouvoir être inférieur à trois fois le taux d’intérêt légal. Les pénalités courent du lendemain de l’échéance jusqu’au paiement intégral.</w:t>
      </w:r>
    </w:p>
    <w:p>
      <w:pPr>
        <w:keepLines w:val="0"/>
        <w:jc w:val="both"/>
        <w:widowControl w:val="true"/>
      </w:pPr>
      <w:r>
        <w:t>Une indemnité forfaitaire de quarante euros par facture est due pour frais de recouvrement conformément aux articles L. 441-10 et D. 441-5 du Code de commerce. Si les frais exposés sont supérieurs, VBT AUTOMATISMES peut demander une indemnisation complémentaire sur justification.</w:t>
      </w:r>
    </w:p>
    <w:p>
      <w:pPr>
        <w:pStyle w:val="Heading1"/>
        <w:jc w:val="left"/>
        <w:numPr>
          <w:ilvl w:val="0"/>
          <w:numId w:val="42"/>
        </w:numPr>
        <w:widowControl w:val="true"/>
      </w:pPr>
      <w:r>
        <w:t>Paiement des Syndicats et Clients publics</w:t>
      </w:r>
    </w:p>
    <w:p>
      <w:pPr>
        <w:keepLines w:val="0"/>
        <w:jc w:val="both"/>
        <w:widowControl w:val="true"/>
      </w:pPr>
      <w:r>
        <w:t>Pour un Syndicat non-professionnel, les intérêts courent après mise en demeure au taux prévu par le devis ou, à défaut, à trois fois le taux légal dans la limite des règles impératives ; les frais de recouvrement justifiés peuvent être réclamés selon le droit commun.</w:t>
      </w:r>
    </w:p>
    <w:p>
      <w:pPr>
        <w:keepLines w:val="0"/>
        <w:jc w:val="both"/>
        <w:widowControl w:val="true"/>
      </w:pPr>
      <w:r>
        <w:t>Pour un Client public, les délais, intérêts moratoires et indemnités sont ceux du Code de la commande publique et des pièces du marché. Le retard de transmission d’un bon d’engagement ou d’une validation interne ne reporte pas une échéance légalement acquise à VBT AUTOMATISMES.</w:t>
      </w:r>
    </w:p>
    <w:p>
      <w:pPr>
        <w:pStyle w:val="Heading1"/>
        <w:jc w:val="left"/>
        <w:numPr>
          <w:ilvl w:val="0"/>
          <w:numId w:val="42"/>
        </w:numPr>
        <w:widowControl w:val="true"/>
      </w:pPr>
      <w:r>
        <w:t>Suspension pour impayé</w:t>
      </w:r>
    </w:p>
    <w:p>
      <w:pPr>
        <w:keepLines w:val="0"/>
        <w:jc w:val="both"/>
        <w:widowControl w:val="true"/>
      </w:pPr>
      <w:r>
        <w:t>En cas d’impayé, d’acompte non versé ou de dépassement d’encours, VBT AUTOMATISMES peut reporter la livraison, suspendre l’approvisionnement et interrompre les prestations après information écrite, sans engager sa responsabilité. Le calendrier est révisé après régularisation selon les disponibilités.</w:t>
      </w:r>
    </w:p>
    <w:p>
      <w:pPr>
        <w:keepLines w:val="0"/>
        <w:jc w:val="both"/>
        <w:widowControl w:val="true"/>
      </w:pPr>
      <w:r>
        <w:t>Si le manquement persiste huit jours après mise en demeure, VBT AUTOMATISMES peut résilier la Commande ou le Contrat dans les conditions de l’article 60. Les prestations exécutées, matériels commandés, frais de conservation et indemnités restent dus.</w:t>
      </w:r>
    </w:p>
    <w:p>
      <w:pPr>
        <w:widowControl w:val="true"/>
      </w:pPr>
      <w:r>
        <w:br w:type="page"/>
      </w:r>
    </w:p>
    <w:p>
      <w:pPr>
        <w:pStyle w:val="Title"/>
        <w:jc w:val="left"/>
        <w:widowControl w:val="true"/>
      </w:pPr>
      <w:r>
        <w:t>PARTIE III — EXÉCUTION DES PRESTATIONS</w:t>
      </w:r>
    </w:p>
    <w:p>
      <w:pPr>
        <w:pStyle w:val="Subtitle"/>
        <w:jc w:val="left"/>
        <w:widowControl w:val="true"/>
      </w:pPr>
      <w:r>
        <w:t>Délais, accès, coopération, livraison, chantier et sécurité</w:t>
      </w:r>
    </w:p>
    <w:p>
      <w:pPr>
        <w:pStyle w:val="Heading1"/>
        <w:jc w:val="left"/>
        <w:numPr>
          <w:ilvl w:val="0"/>
          <w:numId w:val="42"/>
        </w:numPr>
        <w:widowControl w:val="true"/>
      </w:pPr>
      <w:r>
        <w:t>Organisation de l’exécution</w:t>
      </w:r>
    </w:p>
    <w:p>
      <w:pPr>
        <w:keepLines w:val="0"/>
        <w:jc w:val="both"/>
        <w:widowControl w:val="true"/>
      </w:pPr>
      <w:r>
        <w:t>VBT AUTOMATISMES détermine les moyens humains et techniques appropriés, sous réserve des exigences convenues. Elle peut exécuter par phases, recourir à des fournisseurs et coordonner ses interventions avec les contraintes portées à sa connaissance.</w:t>
      </w:r>
    </w:p>
    <w:p>
      <w:pPr>
        <w:keepLines w:val="0"/>
        <w:jc w:val="both"/>
        <w:widowControl w:val="true"/>
      </w:pPr>
      <w:r>
        <w:t>Le Client désigne un interlocuteur habilité à ouvrir le Site, valider les points courants, recevoir les documents et prendre les mesures relevant de sa responsabilité. Les décisions modifiant le Contrat restent soumises aux pouvoirs du signataire.</w:t>
      </w:r>
    </w:p>
    <w:p>
      <w:pPr>
        <w:pStyle w:val="Heading1"/>
        <w:jc w:val="left"/>
        <w:numPr>
          <w:ilvl w:val="0"/>
          <w:numId w:val="42"/>
        </w:numPr>
        <w:widowControl w:val="true"/>
      </w:pPr>
      <w:r>
        <w:t>Délais indicatifs</w:t>
      </w:r>
    </w:p>
    <w:tbl>
      <w:tblPr>
        <w:tblStyle w:val="TableGrid"/>
        <w:tblW w:type="dxa" w:w="9298"/>
        <w:jc w:val="center"/>
        <w:tblLayout w:type="fixed"/>
        <w:tblLook w:firstColumn="1" w:firstRow="1" w:lastColumn="0" w:lastRow="0" w:noHBand="0" w:noVBand="1" w:val="04A0"/>
        <w:tblInd w:w="120" w:type="dxa"/>
      </w:tblPr>
      <w:tblGrid>
        <w:gridCol w:w="9298"/>
      </w:tblGrid>
      <w:tr>
        <w:tc>
          <w:tcPr>
            <w:tcW w:type="dxa" w:w="9298"/>
            <w:tcMar>
              <w:top w:w="90" w:type="dxa"/>
              <w:start w:w="120" w:type="dxa"/>
              <w:bottom w:w="90" w:type="dxa"/>
              <w:end w:w="120" w:type="dxa"/>
            </w:tcMar>
            <w:vAlign w:val="center"/>
            <w:shd w:fill="EAF0F6"/>
          </w:tcPr>
          <w:p>
            <w:pPr>
              <w:spacing w:after="80"/>
              <w:jc w:val="left"/>
            </w:pPr>
            <w:r>
              <w:rPr>
                <w:b/>
                <w:color w:val="17365D"/>
              </w:rPr>
              <w:t>PRINCIPE APPLICABLE AUX DÉLAIS</w:t>
            </w:r>
          </w:p>
          <w:p>
            <w:pPr>
              <w:spacing w:after="0"/>
              <w:jc w:val="left"/>
            </w:pPr>
            <w:r>
              <w:t>Sauf engagement écrit qualifié d’impératif et assorti de conditions précises, toutes les dates et durées sont données à titre indicatif. Elles dépendent notamment des approvisionnements, validations, accès, interfaces, conditions de Site et disponibilités des pièces.</w:t>
            </w:r>
          </w:p>
        </w:tc>
      </w:tr>
    </w:tbl>
    <w:p>
      <w:pPr>
        <w:spacing w:after="20"/>
        <w:widowControl w:val="true"/>
      </w:pPr>
    </w:p>
    <w:p>
      <w:pPr>
        <w:keepLines w:val="0"/>
        <w:jc w:val="both"/>
        <w:widowControl w:val="true"/>
      </w:pPr>
      <w:r>
        <w:t>Un dépassement raisonnable ne permet ni annulation, ni retenue, ni pénalité, sauf stipulation écrite contraire. Avant toute résolution fondée sur un retard, le Client met VBT AUTOMATISMES en demeure et lui accorde un délai supplémentaire adapté à la nature de la prestation.</w:t>
      </w:r>
    </w:p>
    <w:p>
      <w:pPr>
        <w:pStyle w:val="Heading1"/>
        <w:jc w:val="left"/>
        <w:numPr>
          <w:ilvl w:val="0"/>
          <w:numId w:val="42"/>
        </w:numPr>
        <w:widowControl w:val="true"/>
      </w:pPr>
      <w:r>
        <w:t>Point de départ et prolongation des délais</w:t>
      </w:r>
    </w:p>
    <w:p>
      <w:pPr>
        <w:keepLines w:val="0"/>
        <w:jc w:val="both"/>
        <w:widowControl w:val="true"/>
      </w:pPr>
      <w:r>
        <w:t>Le délai court à compter de la dernière des dates suivantes : formation du Contrat, encaissement de l’acompte, réception des informations et autorisations, validation des plans ou choix, mise à disposition du Site et confirmation fournisseur.</w:t>
      </w:r>
    </w:p>
    <w:p>
      <w:pPr>
        <w:keepLines w:val="0"/>
        <w:jc w:val="both"/>
        <w:widowControl w:val="true"/>
      </w:pPr>
      <w:r>
        <w:t>Il est prolongé de la durée des événements empêchant ou ralentissant l’exécution : modification, retard de décision, refus d’accès, travaux préparatoires incomplets, découverte technique, intempérie, absence de personnel du Client, coordination de tiers, retard fournisseur, indisponibilité de pièce, incident de transport ou mesure de sécurité.</w:t>
      </w:r>
    </w:p>
    <w:p>
      <w:pPr>
        <w:pStyle w:val="Heading1"/>
        <w:jc w:val="left"/>
        <w:numPr>
          <w:ilvl w:val="0"/>
          <w:numId w:val="42"/>
        </w:numPr>
        <w:widowControl w:val="true"/>
      </w:pPr>
      <w:r>
        <w:t>Approvisionnements et retards fournisseurs</w:t>
      </w:r>
    </w:p>
    <w:p>
      <w:pPr>
        <w:keepLines w:val="0"/>
        <w:jc w:val="both"/>
        <w:widowControl w:val="true"/>
      </w:pPr>
      <w:r>
        <w:t>Les délais de fabrication, importation et livraison communiqués par les fabricants sont estimatifs. VBT AUTOMATISMES informe le Client d’un retard significatif connu et recherche une solution raisonnable, sans garantir une référence ou un transport qu’elle ne maîtrise pas.</w:t>
      </w:r>
    </w:p>
    <w:p>
      <w:pPr>
        <w:keepLines w:val="0"/>
        <w:jc w:val="both"/>
        <w:widowControl w:val="true"/>
      </w:pPr>
      <w:r>
        <w:t>Un retard ou une rupture fournisseur ne constitue pas automatiquement une force majeure, mais justifie une adaptation du calendrier lorsqu’il échappe au contrôle raisonnable de VBT AUTOMATISMES. Une solution de substitution affectant le prix ou une caractéristique essentielle est soumise au Client.</w:t>
      </w:r>
    </w:p>
    <w:p>
      <w:pPr>
        <w:pStyle w:val="Heading1"/>
        <w:jc w:val="left"/>
        <w:numPr>
          <w:ilvl w:val="0"/>
          <w:numId w:val="42"/>
        </w:numPr>
        <w:widowControl w:val="true"/>
      </w:pPr>
      <w:r>
        <w:t>Accès au Site</w:t>
      </w:r>
    </w:p>
    <w:p>
      <w:pPr>
        <w:keepLines w:val="0"/>
        <w:jc w:val="both"/>
        <w:widowControl w:val="true"/>
      </w:pPr>
      <w:r>
        <w:t>Le Client garantit un accès ponctuel, libre, éclairé et sécurisé aux Équipements, locaux techniques, armoires, réseaux et zones de travail. Il fournit badges, clés, codes, télécommandes, autorisations, stationnement et accompagnement nécessaires.</w:t>
      </w:r>
    </w:p>
    <w:p>
      <w:pPr>
        <w:keepLines w:val="0"/>
        <w:jc w:val="both"/>
        <w:widowControl w:val="true"/>
      </w:pPr>
      <w:r>
        <w:t>En cas d’absence, de refus d’accès ou d’accès partiel, VBT AUTOMATISMES peut établir un constat, facturer le déplacement et le temps immobilisé, puis reprogrammer. Une intervention non réalisée pour cette cause n’est pas réputée comprise dans une nouvelle intervention gratuite.</w:t>
      </w:r>
    </w:p>
    <w:p>
      <w:pPr>
        <w:pStyle w:val="Heading1"/>
        <w:jc w:val="left"/>
        <w:numPr>
          <w:ilvl w:val="0"/>
          <w:numId w:val="42"/>
        </w:numPr>
        <w:widowControl w:val="true"/>
      </w:pPr>
      <w:r>
        <w:t>Conditions préalables du Site</w:t>
      </w:r>
    </w:p>
    <w:p>
      <w:pPr>
        <w:keepLines w:val="0"/>
        <w:jc w:val="both"/>
        <w:widowControl w:val="true"/>
      </w:pPr>
      <w:r>
        <w:t>Le Client réalise ou fait réaliser les alimentations, protections électriques, réseaux, génie civil, supports, réservations, drainage, marquage, éclairage, serrurerie, étanchéité et travaux préparatoires qui ne sont pas expressément inclus. Ils doivent être conformes, disponibles et compatibles à la date prévue.</w:t>
      </w:r>
    </w:p>
    <w:p>
      <w:pPr>
        <w:keepLines w:val="0"/>
        <w:jc w:val="both"/>
        <w:widowControl w:val="true"/>
      </w:pPr>
      <w:r>
        <w:t>VBT AUTOMATISMES n’est pas responsable d’un défaut résultant de l’ouvrage support, de l’alimentation, du réseau, d’un câblage tiers, d’une liaison radio, d’un serveur, d’un abonnement ou d’une configuration extérieure à son périmètre.</w:t>
      </w:r>
    </w:p>
    <w:p>
      <w:pPr>
        <w:pStyle w:val="Heading1"/>
        <w:jc w:val="left"/>
        <w:numPr>
          <w:ilvl w:val="0"/>
          <w:numId w:val="42"/>
        </w:numPr>
        <w:widowControl w:val="true"/>
      </w:pPr>
      <w:r>
        <w:t>Sécurité, prévention et coordination</w:t>
      </w:r>
    </w:p>
    <w:p>
      <w:pPr>
        <w:keepLines w:val="0"/>
        <w:jc w:val="both"/>
        <w:widowControl w:val="true"/>
      </w:pPr>
      <w:r>
        <w:t>Le Client informe VBT AUTOMATISMES des risques, circulations, activités simultanées, matériaux dangereux, plans de prévention, protocoles, permis, consignations et équipements de protection requis. Il organise la coordination générale du Site, sauf mission contraire.</w:t>
      </w:r>
    </w:p>
    <w:p>
      <w:pPr>
        <w:keepLines w:val="0"/>
        <w:jc w:val="both"/>
        <w:widowControl w:val="true"/>
      </w:pPr>
      <w:r>
        <w:t>VBT AUTOMATISMES peut refuser ou interrompre une opération si la sécurité n’est pas assurée. Le temps d’attente, la démobilisation, les moyens supplémentaires et la reprogrammation imputables à une carence du Client sont facturables.</w:t>
      </w:r>
    </w:p>
    <w:p>
      <w:pPr>
        <w:pStyle w:val="Heading1"/>
        <w:jc w:val="left"/>
        <w:numPr>
          <w:ilvl w:val="0"/>
          <w:numId w:val="42"/>
        </w:numPr>
        <w:widowControl w:val="true"/>
      </w:pPr>
      <w:r>
        <w:t>Amiante, plomb et substances dangereuses</w:t>
      </w:r>
    </w:p>
    <w:p>
      <w:pPr>
        <w:keepLines w:val="0"/>
        <w:jc w:val="both"/>
        <w:widowControl w:val="true"/>
      </w:pPr>
      <w:r>
        <w:t>Avant toute opération susceptible d’affecter des matériaux existants, le Client communique les repérages et diagnostics réglementaires. VBT AUTOMATISMES n’effectue ni diagnostic, ni retrait, ni encapsulage d’amiante ou de plomb, sauf commande expresse confiée à un intervenant habilité.</w:t>
      </w:r>
    </w:p>
    <w:p>
      <w:pPr>
        <w:keepLines w:val="0"/>
        <w:jc w:val="both"/>
        <w:widowControl w:val="true"/>
      </w:pPr>
      <w:r>
        <w:t>Toute découverte ou suspicion entraîne l’arrêt de la zone concernée. Les délais sont suspendus jusqu’à remise d’instructions et sécurisation, sans responsabilité de VBT AUTOMATISMES.</w:t>
      </w:r>
    </w:p>
    <w:p>
      <w:pPr>
        <w:pStyle w:val="Heading1"/>
        <w:jc w:val="left"/>
        <w:numPr>
          <w:ilvl w:val="0"/>
          <w:numId w:val="42"/>
        </w:numPr>
        <w:widowControl w:val="true"/>
      </w:pPr>
      <w:r>
        <w:t>Travaux de tiers et interfaces</w:t>
      </w:r>
    </w:p>
    <w:p>
      <w:pPr>
        <w:keepLines w:val="0"/>
        <w:jc w:val="both"/>
        <w:widowControl w:val="true"/>
      </w:pPr>
      <w:r>
        <w:t>Le Client coordonne électriciens, maçons, serruriers, informaticiens, opérateurs télécoms, ascensoristes et autres intervenants. VBT AUTOMATISMES n’assume pas les erreurs, retards ou incompatibilités des tiers et peut demander des essais contradictoires.</w:t>
      </w:r>
    </w:p>
    <w:p>
      <w:pPr>
        <w:keepLines w:val="0"/>
        <w:jc w:val="both"/>
        <w:widowControl w:val="true"/>
      </w:pPr>
      <w:r>
        <w:t>Toute intervention d’un tiers sur un Équipement avant Réception ou pendant une garantie doit être signalée. Si elle empêche le diagnostic, modifie le réglage ou cause le défaut, le temps de recherche et la remise en état sont facturables et la garantie correspondante peut être écartée.</w:t>
      </w:r>
    </w:p>
    <w:p>
      <w:pPr>
        <w:pStyle w:val="Heading1"/>
        <w:jc w:val="left"/>
        <w:numPr>
          <w:ilvl w:val="0"/>
          <w:numId w:val="42"/>
        </w:numPr>
        <w:widowControl w:val="true"/>
      </w:pPr>
      <w:r>
        <w:t>Livraison, stockage et garde</w:t>
      </w:r>
    </w:p>
    <w:p>
      <w:pPr>
        <w:keepLines w:val="0"/>
        <w:jc w:val="both"/>
        <w:widowControl w:val="true"/>
      </w:pPr>
      <w:r>
        <w:t>Le Client réceptionne les matériels livrés et formule au transporteur les réserves nécessaires. Si le Site ne peut recevoir la livraison à la date prévue, les matériels peuvent être stockés aux frais et risques du Client après information.</w:t>
      </w:r>
    </w:p>
    <w:p>
      <w:pPr>
        <w:keepLines w:val="0"/>
        <w:jc w:val="both"/>
        <w:widowControl w:val="true"/>
      </w:pPr>
      <w:r>
        <w:t>La garde des matériels passe au Client lors de leur livraison sur Site ou de leur mise à disposition. VBT AUTOMATISMES conserve la propriété des biens identifiables jusqu’au complet paiement, conformément à l’article 69.</w:t>
      </w:r>
    </w:p>
    <w:p>
      <w:pPr>
        <w:pStyle w:val="Heading1"/>
        <w:jc w:val="left"/>
        <w:numPr>
          <w:ilvl w:val="0"/>
          <w:numId w:val="42"/>
        </w:numPr>
        <w:widowControl w:val="true"/>
      </w:pPr>
      <w:r>
        <w:t>Nettoyage et déchets</w:t>
      </w:r>
    </w:p>
    <w:p>
      <w:pPr>
        <w:keepLines w:val="0"/>
        <w:jc w:val="both"/>
        <w:widowControl w:val="true"/>
      </w:pPr>
      <w:r>
        <w:t>VBT AUTOMATISMES retire ses déchets ordinaires de pose selon le devis. Les déchets dangereux, terres, gravats, équipements contaminés, batteries ou matériels dont la reprise n’est pas prévue restent à la charge du Client ou font l’objet d’une facturation spécifique.</w:t>
      </w:r>
    </w:p>
    <w:p>
      <w:pPr>
        <w:keepLines w:val="0"/>
        <w:jc w:val="both"/>
        <w:widowControl w:val="true"/>
      </w:pPr>
      <w:r>
        <w:t>Le nettoyage est limité à la zone d’intervention. Les reprises esthétiques, peintures, sols, murs et aménagements ne sont compris que s’ils sont expressément décrits.</w:t>
      </w:r>
    </w:p>
    <w:p>
      <w:pPr>
        <w:widowControl w:val="true"/>
      </w:pPr>
      <w:r>
        <w:br w:type="page"/>
      </w:r>
    </w:p>
    <w:p>
      <w:pPr>
        <w:pStyle w:val="Title"/>
        <w:jc w:val="left"/>
        <w:widowControl w:val="true"/>
      </w:pPr>
      <w:r>
        <w:t>PARTIE IV — PRESTATIONS TECHNIQUES</w:t>
      </w:r>
    </w:p>
    <w:p>
      <w:pPr>
        <w:pStyle w:val="Subtitle"/>
        <w:jc w:val="left"/>
        <w:widowControl w:val="true"/>
      </w:pPr>
      <w:r>
        <w:t>Installation, dépannage, maintenance, pièces, modernisation et sécurité</w:t>
      </w:r>
    </w:p>
    <w:p>
      <w:pPr>
        <w:pStyle w:val="Heading1"/>
        <w:jc w:val="left"/>
        <w:numPr>
          <w:ilvl w:val="0"/>
          <w:numId w:val="42"/>
        </w:numPr>
        <w:widowControl w:val="true"/>
      </w:pPr>
      <w:r>
        <w:t>Installation et remplacement</w:t>
      </w:r>
    </w:p>
    <w:p>
      <w:pPr>
        <w:keepLines w:val="0"/>
        <w:jc w:val="both"/>
        <w:widowControl w:val="true"/>
      </w:pPr>
      <w:r>
        <w:t>La prestation porte sur les matériels et travaux décrits au devis. Les dimensions finales peuvent nécessiter une vérification après dépose ou préparation. Les adaptations indispensables découvertes en cours de pose font l’objet d’un accord complémentaire lorsqu’elles excèdent les tolérances usuelles.</w:t>
      </w:r>
    </w:p>
    <w:p>
      <w:pPr>
        <w:keepLines w:val="0"/>
        <w:jc w:val="both"/>
        <w:widowControl w:val="true"/>
      </w:pPr>
      <w:r>
        <w:t>La mise en service suppose la disponibilité des alimentations, réseaux, organes commandés par des tiers et zones d’essai. Une mise en service partielle peut être prononcée lorsque les fonctions restantes dépendent du Client ou d’un tiers.</w:t>
      </w:r>
    </w:p>
    <w:p>
      <w:pPr>
        <w:pStyle w:val="Heading1"/>
        <w:jc w:val="left"/>
        <w:numPr>
          <w:ilvl w:val="0"/>
          <w:numId w:val="42"/>
        </w:numPr>
        <w:widowControl w:val="true"/>
      </w:pPr>
      <w:r>
        <w:t>Diagnostic et recherche de panne</w:t>
      </w:r>
    </w:p>
    <w:p>
      <w:pPr>
        <w:keepLines w:val="0"/>
        <w:jc w:val="both"/>
        <w:widowControl w:val="true"/>
      </w:pPr>
      <w:r>
        <w:t>Le diagnostic est une prestation autonome et facturable, même si le Client ne commande pas la réparation ou si la panne est intermittente. Il est établi selon les symptômes observables, les accès disponibles et les informations communiquées.</w:t>
      </w:r>
    </w:p>
    <w:p>
      <w:pPr>
        <w:keepLines w:val="0"/>
        <w:jc w:val="both"/>
        <w:widowControl w:val="true"/>
      </w:pPr>
      <w:r>
        <w:t>Une première intervention peut révéler la nécessité de mesures, démontages, essais prolongés, documentation fabricant ou pièces de test. L’absence de réparation immédiate ne caractérise pas une inexécution lorsque la recherche a été menée avec diligence.</w:t>
      </w:r>
    </w:p>
    <w:p>
      <w:pPr>
        <w:pStyle w:val="Heading1"/>
        <w:jc w:val="left"/>
        <w:numPr>
          <w:ilvl w:val="0"/>
          <w:numId w:val="42"/>
        </w:numPr>
        <w:widowControl w:val="true"/>
      </w:pPr>
      <w:r>
        <w:t>Dépannage</w:t>
      </w:r>
    </w:p>
    <w:p>
      <w:pPr>
        <w:keepLines w:val="0"/>
        <w:jc w:val="both"/>
        <w:widowControl w:val="true"/>
      </w:pPr>
      <w:r>
        <w:t>Le dépannage n’est inclus que si un devis ou contrat le prévoit. Il couvre les opérations commandées et réalisables avec les moyens disponibles. Le déplacement, le diagnostic, la main-d’œuvre, les fournitures, locations et majorations horaires sont facturés.</w:t>
      </w:r>
    </w:p>
    <w:p>
      <w:pPr>
        <w:keepLines w:val="0"/>
        <w:jc w:val="both"/>
        <w:widowControl w:val="true"/>
      </w:pPr>
      <w:r>
        <w:t>Les Clients titulaires d’un contrat de maintenance en cours de validité peuvent être traités prioritairement selon l’urgence et les disponibilités. Cette priorité d’organisation ne vaut ni délai garanti, ni astreinte, ni garantie de stock.</w:t>
      </w:r>
    </w:p>
    <w:p>
      <w:pPr>
        <w:pStyle w:val="Heading1"/>
        <w:jc w:val="left"/>
        <w:numPr>
          <w:ilvl w:val="0"/>
          <w:numId w:val="42"/>
        </w:numPr>
        <w:widowControl w:val="true"/>
      </w:pPr>
      <w:r>
        <w:t>Réparations urgentes et mesures conservatoires</w:t>
      </w:r>
    </w:p>
    <w:p>
      <w:pPr>
        <w:keepLines w:val="0"/>
        <w:jc w:val="both"/>
        <w:widowControl w:val="true"/>
      </w:pPr>
      <w:r>
        <w:t>En présence d’un danger, VBT AUTOMATISMES peut recommander l’arrêt, la condamnation, le balisage, la mise hors service ou la coupure de l’Équipement. Elle peut exécuter une mesure conservatoire sur commande de la personne habilitée, sans que celle-ci constitue nécessairement une réparation définitive.</w:t>
      </w:r>
    </w:p>
    <w:p>
      <w:pPr>
        <w:keepLines w:val="0"/>
        <w:jc w:val="both"/>
        <w:widowControl w:val="true"/>
      </w:pPr>
      <w:r>
        <w:t>L’urgence ne dispense pas de l’accord sur le prix, sauf régime légal ou marché public contraire. Le Client demeure responsable de l’interdiction d’usage, de l’information des utilisateurs et de la sécurité générale du Site.</w:t>
      </w:r>
    </w:p>
    <w:p>
      <w:pPr>
        <w:pStyle w:val="Heading1"/>
        <w:jc w:val="left"/>
        <w:numPr>
          <w:ilvl w:val="0"/>
          <w:numId w:val="42"/>
        </w:numPr>
        <w:widowControl w:val="true"/>
      </w:pPr>
      <w:r>
        <w:t>Maintenance préventive et corrective</w:t>
      </w:r>
    </w:p>
    <w:p>
      <w:pPr>
        <w:keepLines w:val="0"/>
        <w:jc w:val="both"/>
        <w:widowControl w:val="true"/>
      </w:pPr>
      <w:r>
        <w:t>La maintenance préventive réduit les risques et détecte des anomalies ; elle n’exclut pas les pannes. La maintenance corrective vise à rétablir une fonction après diagnostic, sans garantir la rénovation complète des autres composants.</w:t>
      </w:r>
    </w:p>
    <w:p>
      <w:pPr>
        <w:keepLines w:val="0"/>
        <w:jc w:val="both"/>
        <w:widowControl w:val="true"/>
      </w:pPr>
      <w:r>
        <w:t>Les fréquences, contrôles, horaires et inclusions résultent du contrat de maintenance ou du devis. À défaut, chaque intervention est facturée séparément. Les pièces, dépannages et travaux correctifs ne sont jamais réputés inclus par la seule existence de visites préventives.</w:t>
      </w:r>
    </w:p>
    <w:p>
      <w:pPr>
        <w:pStyle w:val="Heading1"/>
        <w:jc w:val="left"/>
        <w:numPr>
          <w:ilvl w:val="0"/>
          <w:numId w:val="42"/>
        </w:numPr>
        <w:widowControl w:val="true"/>
      </w:pPr>
      <w:r>
        <w:t>Contrats de maintenance</w:t>
      </w:r>
    </w:p>
    <w:p>
      <w:pPr>
        <w:keepLines w:val="0"/>
        <w:jc w:val="both"/>
        <w:widowControl w:val="true"/>
      </w:pPr>
      <w:r>
        <w:t>Lorsqu’un contrat de maintenance est signé, ses conditions particulières et générales régissent prioritairement le périmètre, les visites, exclusions, renouvellement et services. Les présentes CGV restent applicables à toutes les questions non réglées par ce contrat et aux devis de réparation associés.</w:t>
      </w:r>
    </w:p>
    <w:p>
      <w:pPr>
        <w:keepLines w:val="0"/>
        <w:jc w:val="both"/>
        <w:widowControl w:val="true"/>
      </w:pPr>
      <w:r>
        <w:t>La suspension ou la fin d’un contrat de maintenance ne libère pas le Client des factures, interventions et commandes déjà engagées. Les rapports et recommandations antérieurs conservent leur portée.</w:t>
      </w:r>
    </w:p>
    <w:p>
      <w:pPr>
        <w:pStyle w:val="Heading1"/>
        <w:jc w:val="left"/>
        <w:numPr>
          <w:ilvl w:val="0"/>
          <w:numId w:val="42"/>
        </w:numPr>
        <w:widowControl w:val="true"/>
      </w:pPr>
      <w:r>
        <w:t>Prestations exclues</w:t>
      </w:r>
    </w:p>
    <w:p>
      <w:pPr>
        <w:keepLines w:val="0"/>
        <w:jc w:val="both"/>
        <w:widowControl w:val="true"/>
      </w:pPr>
      <w:r>
        <w:t>Sauf mention expresse, sont exclus : permanence, astreinte, délai garanti, génie civil, alimentation amont, réseau informatique, abonnements, contrôle réglementaire indépendant, reprise esthétique, peinture, désamiantage, moyens d’accès exceptionnels, surveillance humaine et gardiennage.</w:t>
      </w:r>
    </w:p>
    <w:p>
      <w:pPr>
        <w:keepLines w:val="0"/>
        <w:jc w:val="both"/>
        <w:widowControl w:val="true"/>
      </w:pPr>
      <w:r>
        <w:t>Sont également exclus les dommages et travaux causés par accident, choc, vandalisme, intrusion, mauvaise utilisation, surcharge, obstacle, travaux de tiers, incendie, inondation, foudre, surtension, tempête, gel, corrosion anormale, nuisibles ou catastrophe naturelle.</w:t>
      </w:r>
    </w:p>
    <w:p>
      <w:pPr>
        <w:pStyle w:val="Heading1"/>
        <w:jc w:val="left"/>
        <w:numPr>
          <w:ilvl w:val="0"/>
          <w:numId w:val="42"/>
        </w:numPr>
        <w:widowControl w:val="true"/>
      </w:pPr>
      <w:r>
        <w:t>Pièces détachées et consommables</w:t>
      </w:r>
    </w:p>
    <w:p>
      <w:pPr>
        <w:keepLines w:val="0"/>
        <w:jc w:val="both"/>
        <w:widowControl w:val="true"/>
      </w:pPr>
      <w:r>
        <w:t>Les pièces et consommables sont facturés sauf inclusion écrite. VBT AUTOMATISMES choisit une référence compatible et peut proposer une pièce équivalente. Les pièces déposées sont évacuées, sauf demande préalable de restitution compatible avec les règles de sécurité et d’environnement.</w:t>
      </w:r>
    </w:p>
    <w:p>
      <w:pPr>
        <w:keepLines w:val="0"/>
        <w:jc w:val="both"/>
        <w:widowControl w:val="true"/>
      </w:pPr>
      <w:r>
        <w:t>Une pièce spécialement commandée, programmée, peinte, découpée ou fabriquée ne peut être reprise. Les frais de port, douane, urgence, retour et reconditionnement sont facturables.</w:t>
      </w:r>
    </w:p>
    <w:p>
      <w:pPr>
        <w:pStyle w:val="Heading1"/>
        <w:jc w:val="left"/>
        <w:numPr>
          <w:ilvl w:val="0"/>
          <w:numId w:val="42"/>
        </w:numPr>
        <w:widowControl w:val="true"/>
      </w:pPr>
      <w:r>
        <w:t>Disponibilité, obsolescence et rupture de fabrication</w:t>
      </w:r>
    </w:p>
    <w:p>
      <w:pPr>
        <w:keepLines w:val="0"/>
        <w:jc w:val="both"/>
        <w:widowControl w:val="true"/>
      </w:pPr>
      <w:r>
        <w:t>VBT AUTOMATISMES ne garantit ni la disponibilité immédiate ni la poursuite de fabrication d’une pièce. Les délais et stocks annoncés par les fabricants peuvent évoluer. Une pièce indisponible peut imposer une réparation provisoire, une adaptation ou le remplacement d’un ensemble.</w:t>
      </w:r>
    </w:p>
    <w:p>
      <w:pPr>
        <w:keepLines w:val="0"/>
        <w:jc w:val="both"/>
        <w:widowControl w:val="true"/>
      </w:pPr>
      <w:r>
        <w:t>Si l’obsolescence rend la réparation impossible, aléatoire ou économiquement disproportionnée, VBT AUTOMATISMES en informe le Client et propose, si possible, une modernisation. Le refus de cette solution ne transforme pas l’impossibilité technique en faute.</w:t>
      </w:r>
    </w:p>
    <w:p>
      <w:pPr>
        <w:pStyle w:val="Heading1"/>
        <w:jc w:val="left"/>
        <w:numPr>
          <w:ilvl w:val="0"/>
          <w:numId w:val="42"/>
        </w:numPr>
        <w:widowControl w:val="true"/>
      </w:pPr>
      <w:r>
        <w:t>Modernisation et mise en conformité</w:t>
      </w:r>
    </w:p>
    <w:p>
      <w:pPr>
        <w:keepLines w:val="0"/>
        <w:jc w:val="both"/>
        <w:widowControl w:val="true"/>
      </w:pPr>
      <w:r>
        <w:t>Une modernisation ou mise en conformité porte uniquement sur les éléments visés au devis. Elle ne vaut pas certification globale de l’installation, du bâtiment ou des interfaces non contrôlées.</w:t>
      </w:r>
    </w:p>
    <w:p>
      <w:pPr>
        <w:keepLines w:val="0"/>
        <w:jc w:val="both"/>
        <w:widowControl w:val="true"/>
      </w:pPr>
      <w:r>
        <w:t>Le Client communique les rapports de contrôle et prescriptions disponibles. Les exigences nouvelles, défauts cachés ou incompatibilités découvertes donnent lieu à complément. La conformité s’apprécie à la date des travaux et dans le périmètre commandé.</w:t>
      </w:r>
    </w:p>
    <w:p>
      <w:pPr>
        <w:pStyle w:val="Heading1"/>
        <w:jc w:val="left"/>
        <w:numPr>
          <w:ilvl w:val="0"/>
          <w:numId w:val="42"/>
        </w:numPr>
        <w:widowControl w:val="true"/>
      </w:pPr>
      <w:r>
        <w:t>Dispositifs de sécurité neutralisés</w:t>
      </w:r>
    </w:p>
    <w:tbl>
      <w:tblPr>
        <w:tblStyle w:val="TableGrid"/>
        <w:tblW w:type="dxa" w:w="9298"/>
        <w:jc w:val="center"/>
        <w:tblLayout w:type="fixed"/>
        <w:tblLook w:firstColumn="1" w:firstRow="1" w:lastColumn="0" w:lastRow="0" w:noHBand="0" w:noVBand="1" w:val="04A0"/>
        <w:tblInd w:w="120" w:type="dxa"/>
      </w:tblPr>
      <w:tblGrid>
        <w:gridCol w:w="9298"/>
      </w:tblGrid>
      <w:tr>
        <w:tc>
          <w:tcPr>
            <w:tcW w:type="dxa" w:w="9298"/>
            <w:tcMar>
              <w:top w:w="90" w:type="dxa"/>
              <w:start w:w="120" w:type="dxa"/>
              <w:bottom w:w="90" w:type="dxa"/>
              <w:end w:w="120" w:type="dxa"/>
            </w:tcMar>
            <w:vAlign w:val="center"/>
            <w:shd w:fill="EAF0F6"/>
          </w:tcPr>
          <w:p>
            <w:pPr>
              <w:spacing w:after="80"/>
              <w:jc w:val="left"/>
            </w:pPr>
            <w:r>
              <w:rPr>
                <w:b/>
                <w:color w:val="17365D"/>
              </w:rPr>
              <w:t>RÈGLE IMPÉRATIVE DE SÉCURITÉ</w:t>
            </w:r>
          </w:p>
          <w:p>
            <w:pPr>
              <w:spacing w:after="0"/>
              <w:jc w:val="left"/>
            </w:pPr>
            <w:r>
              <w:t>Aucun dispositif de sécurité ne doit être contourné, débranché, shunté, masqué, modifié ou neutralisé par le Client, ses utilisateurs, résidents, préposés ou prestataires.</w:t>
            </w:r>
          </w:p>
        </w:tc>
      </w:tr>
    </w:tbl>
    <w:p>
      <w:pPr>
        <w:spacing w:after="20"/>
        <w:widowControl w:val="true"/>
      </w:pPr>
    </w:p>
    <w:p>
      <w:pPr>
        <w:keepLines w:val="0"/>
        <w:jc w:val="both"/>
        <w:widowControl w:val="true"/>
      </w:pPr>
      <w:r>
        <w:t>VBT AUTOMATISMES consigne la situation, recommande les mesures conservatoires et établit un devis de rétablissement. Elle peut refuser la remise en service, suspendre la maintenance de l’Équipement et, en cas de danger grave, résilier la prestation affectée.</w:t>
      </w:r>
    </w:p>
    <w:p>
      <w:pPr>
        <w:keepLines w:val="0"/>
        <w:jc w:val="both"/>
        <w:widowControl w:val="true"/>
      </w:pPr>
      <w:r>
        <w:t>Si le Client refuse la sécurisation ou la mise en conformité, il assume l’organisation de l’interdiction d’usage. VBT AUTOMATISMES ne répond pas d’un incident ayant pour cause la neutralisation, le refus ou la poursuite d’utilisation malgré l’alerte, sauf faute propre prouvée ayant contribué au dommage.</w:t>
      </w:r>
    </w:p>
    <w:p>
      <w:pPr>
        <w:pStyle w:val="Heading1"/>
        <w:jc w:val="left"/>
        <w:numPr>
          <w:ilvl w:val="0"/>
          <w:numId w:val="42"/>
        </w:numPr>
        <w:widowControl w:val="true"/>
      </w:pPr>
      <w:r>
        <w:t>Mauvaise utilisation, vandalisme et causes externes</w:t>
      </w:r>
    </w:p>
    <w:p>
      <w:pPr>
        <w:keepLines w:val="0"/>
        <w:jc w:val="both"/>
        <w:widowControl w:val="true"/>
      </w:pPr>
      <w:r>
        <w:t>Les conséquences d’un usage contraire aux notices, d’un forçage, d’un obstacle, d’une commande répétée, d’un défaut de surveillance, d’un badge détourné, d’une intrusion, d’un vandalisme ou d’un choc ne relèvent pas de la garantie.</w:t>
      </w:r>
    </w:p>
    <w:p>
      <w:pPr>
        <w:keepLines w:val="0"/>
        <w:jc w:val="both"/>
        <w:widowControl w:val="true"/>
      </w:pPr>
      <w:r>
        <w:t>Il en va de même pour les défauts d’alimentation, de terre, de réseau, de couverture radio, de serveur, de ligne téléphonique, d’éclairage ou d’ouvrage support. VBT AUTOMATISMES peut diagnostiquer ces causes et proposer une intervention distincte.</w:t>
      </w:r>
    </w:p>
    <w:p>
      <w:pPr>
        <w:widowControl w:val="true"/>
      </w:pPr>
      <w:r>
        <w:br w:type="page"/>
      </w:r>
    </w:p>
    <w:p>
      <w:pPr>
        <w:pStyle w:val="Title"/>
        <w:jc w:val="left"/>
        <w:widowControl w:val="true"/>
      </w:pPr>
      <w:r>
        <w:t>PARTIE V — RÉCEPTION ET GARANTIES</w:t>
      </w:r>
    </w:p>
    <w:p>
      <w:pPr>
        <w:pStyle w:val="Subtitle"/>
        <w:jc w:val="left"/>
        <w:widowControl w:val="true"/>
      </w:pPr>
      <w:r>
        <w:t>Achèvement, réserves, garanties légales, garanties contractuelles et fabricants</w:t>
      </w:r>
    </w:p>
    <w:p>
      <w:pPr>
        <w:pStyle w:val="Heading1"/>
        <w:jc w:val="left"/>
        <w:numPr>
          <w:ilvl w:val="0"/>
          <w:numId w:val="42"/>
        </w:numPr>
        <w:widowControl w:val="true"/>
      </w:pPr>
      <w:r>
        <w:t>Achèvement et essais</w:t>
      </w:r>
    </w:p>
    <w:p>
      <w:pPr>
        <w:keepLines w:val="0"/>
        <w:jc w:val="both"/>
        <w:widowControl w:val="true"/>
      </w:pPr>
      <w:r>
        <w:t>VBT AUTOMATISMES informe le Client lorsque les prestations sont achevées ou suffisamment avancées pour les essais. Le Client met à disposition les utilisateurs et interfaces nécessaires. Un procès-verbal, rapport ou bon d’intervention peut constater les essais et observations.</w:t>
      </w:r>
    </w:p>
    <w:p>
      <w:pPr>
        <w:keepLines w:val="0"/>
        <w:jc w:val="both"/>
        <w:widowControl w:val="true"/>
      </w:pPr>
      <w:r>
        <w:t>Les défauts mineurs n’empêchant ni l’usage normal ni la sécurité ne font pas obstacle à l’achèvement et sont traités comme réserves. Les fonctions dépendant d’un tiers peuvent être exclues des essais jusqu’à disponibilité.</w:t>
      </w:r>
    </w:p>
    <w:p>
      <w:pPr>
        <w:pStyle w:val="Heading1"/>
        <w:jc w:val="left"/>
        <w:numPr>
          <w:ilvl w:val="0"/>
          <w:numId w:val="42"/>
        </w:numPr>
        <w:widowControl w:val="true"/>
      </w:pPr>
      <w:r>
        <w:t>Réception</w:t>
      </w:r>
    </w:p>
    <w:p>
      <w:pPr>
        <w:keepLines w:val="0"/>
        <w:jc w:val="both"/>
        <w:widowControl w:val="true"/>
      </w:pPr>
      <w:r>
        <w:t>Lorsque la nature des travaux le justifie, la Réception est prononcée contradictoirement, avec ou sans réserves. VBT AUTOMATISMES peut convoquer le Client par écrit. La date de Réception constitue le point de départ des garanties applicables.</w:t>
      </w:r>
    </w:p>
    <w:p>
      <w:pPr>
        <w:keepLines w:val="0"/>
        <w:jc w:val="both"/>
        <w:widowControl w:val="true"/>
      </w:pPr>
      <w:r>
        <w:t>Sans préjudice des règles impératives de la réception légale, l’usage normal, la mise en exploitation ou le paiement du solde sans réserve caractérise l’acceptation contractuelle des prestations. L’absence du Client à deux convocations permet à VBT AUTOMATISMES de dresser un constat d’achèvement.</w:t>
      </w:r>
    </w:p>
    <w:p>
      <w:pPr>
        <w:pStyle w:val="Heading1"/>
        <w:jc w:val="left"/>
        <w:numPr>
          <w:ilvl w:val="0"/>
          <w:numId w:val="42"/>
        </w:numPr>
        <w:widowControl w:val="true"/>
      </w:pPr>
      <w:r>
        <w:t>Réserves</w:t>
      </w:r>
    </w:p>
    <w:p>
      <w:pPr>
        <w:keepLines w:val="0"/>
        <w:jc w:val="both"/>
        <w:widowControl w:val="true"/>
      </w:pPr>
      <w:r>
        <w:t>Les réserves sont précises, circonstanciées et limitées aux défauts constatables. Elles n’autorisent pas le refus global d’une prestation utilisable ni la retenue de sommes sans rapport avec leur coût.</w:t>
      </w:r>
    </w:p>
    <w:p>
      <w:pPr>
        <w:keepLines w:val="0"/>
        <w:jc w:val="both"/>
        <w:widowControl w:val="true"/>
      </w:pPr>
      <w:r>
        <w:t>VBT AUTOMATISMES propose un délai de levée tenant compte des pièces et accès. Le Client permet les reprises. Une réserve résultant d’une cause extérieure ou d’une prestation exclue fait l’objet d’un devis.</w:t>
      </w:r>
    </w:p>
    <w:p>
      <w:pPr>
        <w:pStyle w:val="Heading1"/>
        <w:jc w:val="left"/>
        <w:numPr>
          <w:ilvl w:val="0"/>
          <w:numId w:val="42"/>
        </w:numPr>
        <w:widowControl w:val="true"/>
      </w:pPr>
      <w:r>
        <w:t>Garantie contractuelle des prestations</w:t>
      </w:r>
    </w:p>
    <w:p>
      <w:pPr>
        <w:keepLines w:val="0"/>
        <w:jc w:val="both"/>
        <w:widowControl w:val="true"/>
      </w:pPr>
      <w:r>
        <w:t>Sauf durée différente au devis, VBT AUTOMATISMES garantit pendant douze mois à compter de la Réception la conformité de sa main-d’œuvre et des réglages réalisés. Son obligation est, à son choix, de reprendre la prestation défectueuse ou de rembourser son prix, après constat contradictoire.</w:t>
      </w:r>
    </w:p>
    <w:p>
      <w:pPr>
        <w:keepLines w:val="0"/>
        <w:jc w:val="both"/>
        <w:widowControl w:val="true"/>
      </w:pPr>
      <w:r>
        <w:t>La garantie exclut l’usure normale, les consommables, défauts préexistants, mauvaise utilisation, absence d’entretien, cause externe, intervention de tiers, modification, vandalisme, accident, corrosion, intempérie, réseau ou alimentation défaillante.</w:t>
      </w:r>
    </w:p>
    <w:p>
      <w:pPr>
        <w:pStyle w:val="Heading1"/>
        <w:jc w:val="left"/>
        <w:numPr>
          <w:ilvl w:val="0"/>
          <w:numId w:val="42"/>
        </w:numPr>
        <w:widowControl w:val="true"/>
      </w:pPr>
      <w:r>
        <w:t>Garantie légale des vices cachés</w:t>
      </w:r>
    </w:p>
    <w:p>
      <w:pPr>
        <w:keepLines w:val="0"/>
        <w:jc w:val="both"/>
        <w:widowControl w:val="true"/>
      </w:pPr>
      <w:r>
        <w:t>Lorsque VBT AUTOMATISMES vend un matériel, la garantie légale des vices cachés des articles 1641 et suivants du Code civil demeure applicable dans ses conditions légales. Le Client doit établir l’existence d’un vice non apparent, antérieur au transfert des risques et suffisamment grave.</w:t>
      </w:r>
    </w:p>
    <w:p>
      <w:pPr>
        <w:keepLines w:val="0"/>
        <w:jc w:val="both"/>
        <w:widowControl w:val="true"/>
      </w:pPr>
      <w:r>
        <w:t>La garantie contractuelle ou fabricant ne prive pas le Client d’une garantie légale impérative. Elle ne couvre toutefois pas un défaut résultant de la pose d’un tiers, d’une incompatibilité signalée, d’une usure, d’un environnement inadapté ou d’une transformation postérieure.</w:t>
      </w:r>
    </w:p>
    <w:p>
      <w:pPr>
        <w:pStyle w:val="Heading1"/>
        <w:jc w:val="left"/>
        <w:numPr>
          <w:ilvl w:val="0"/>
          <w:numId w:val="42"/>
        </w:numPr>
        <w:widowControl w:val="true"/>
      </w:pPr>
      <w:r>
        <w:t>Garanties légales de construction</w:t>
      </w:r>
    </w:p>
    <w:p>
      <w:pPr>
        <w:keepLines w:val="0"/>
        <w:jc w:val="both"/>
        <w:widowControl w:val="true"/>
      </w:pPr>
      <w:r>
        <w:t>Lorsque les conditions légales sont réunies, les garanties des articles 1792 et suivants du Code civil s’appliquent, notamment la garantie de parfait achèvement, la garantie de bon fonctionnement des éléments d’équipement et la responsabilité décennale. Aucune stipulation des CGV ne les exclut.</w:t>
      </w:r>
    </w:p>
    <w:p>
      <w:pPr>
        <w:keepLines w:val="0"/>
        <w:jc w:val="both"/>
        <w:widowControl w:val="true"/>
      </w:pPr>
      <w:r>
        <w:t>Leur champ dépend de la nature de l’ouvrage, de l’incorporation, de la gravité du dommage et de la Réception. Une opération de maintenance ou une réparation ponctuelle n’entre pas automatiquement dans ce régime.</w:t>
      </w:r>
    </w:p>
    <w:p>
      <w:pPr>
        <w:pStyle w:val="Heading1"/>
        <w:jc w:val="left"/>
        <w:numPr>
          <w:ilvl w:val="0"/>
          <w:numId w:val="42"/>
        </w:numPr>
        <w:widowControl w:val="true"/>
      </w:pPr>
      <w:r>
        <w:t>Garanties fabricants</w:t>
      </w:r>
    </w:p>
    <w:p>
      <w:pPr>
        <w:keepLines w:val="0"/>
        <w:jc w:val="both"/>
        <w:widowControl w:val="true"/>
      </w:pPr>
      <w:r>
        <w:t>Les matériels bénéficient, lorsqu’elle existe, de la garantie du fabricant selon ses conditions. VBT AUTOMATISMES transmet les éléments utiles et peut assurer l’interface, mais ne garantit ni la décision, ni le délai, ni la disponibilité du fabricant.</w:t>
      </w:r>
    </w:p>
    <w:p>
      <w:pPr>
        <w:keepLines w:val="0"/>
        <w:jc w:val="both"/>
        <w:widowControl w:val="true"/>
      </w:pPr>
      <w:r>
        <w:t>Le démontage, transport, diagnostic, accès, main-d’œuvre et remontage ne sont couverts que si la garantie ou le devis le prévoit. Un refus fabricant justifié par l’usage ou une cause externe rend ces coûts exigibles.</w:t>
      </w:r>
    </w:p>
    <w:p>
      <w:pPr>
        <w:pStyle w:val="Heading1"/>
        <w:jc w:val="left"/>
        <w:numPr>
          <w:ilvl w:val="0"/>
          <w:numId w:val="42"/>
        </w:numPr>
        <w:widowControl w:val="true"/>
      </w:pPr>
      <w:r>
        <w:t>Mise en œuvre d’une garantie</w:t>
      </w:r>
    </w:p>
    <w:p>
      <w:pPr>
        <w:keepLines w:val="0"/>
        <w:jc w:val="both"/>
        <w:widowControl w:val="true"/>
      </w:pPr>
      <w:r>
        <w:t>Le Client signale le défaut sans délai, cesse tout usage dangereux, préserve les preuves et donne accès. Il communique la facture, la référence, les circonstances et les interventions de tiers.</w:t>
      </w:r>
    </w:p>
    <w:p>
      <w:pPr>
        <w:keepLines w:val="0"/>
        <w:jc w:val="both"/>
        <w:widowControl w:val="true"/>
      </w:pPr>
      <w:r>
        <w:t>Une intervention demandée au titre de la garantie est facturable si le défaut n’est pas couvert ou ne peut être reproduit pour une cause non imputable à VBT AUTOMATISMES. Aucune réparation par un tiers ne peut être mise à sa charge sans mise en demeure et possibilité raisonnable d’intervenir, sauf urgence avérée.</w:t>
      </w:r>
    </w:p>
    <w:p>
      <w:pPr>
        <w:widowControl w:val="true"/>
      </w:pPr>
      <w:r>
        <w:br w:type="page"/>
      </w:r>
    </w:p>
    <w:p>
      <w:pPr>
        <w:pStyle w:val="Title"/>
        <w:jc w:val="left"/>
        <w:widowControl w:val="true"/>
      </w:pPr>
      <w:r>
        <w:t>PARTIE VI — RISQUES, SUSPENSION ET RESPONSABILITÉ</w:t>
      </w:r>
    </w:p>
    <w:p>
      <w:pPr>
        <w:pStyle w:val="Subtitle"/>
        <w:jc w:val="left"/>
        <w:widowControl w:val="true"/>
      </w:pPr>
      <w:r>
        <w:t>Force majeure, refus de sécurité, résiliation, assurances et allocation des risques</w:t>
      </w:r>
    </w:p>
    <w:p>
      <w:pPr>
        <w:pStyle w:val="Heading1"/>
        <w:jc w:val="left"/>
        <w:numPr>
          <w:ilvl w:val="0"/>
          <w:numId w:val="42"/>
        </w:numPr>
        <w:widowControl w:val="true"/>
      </w:pPr>
      <w:r>
        <w:t>Force majeure</w:t>
      </w:r>
    </w:p>
    <w:p>
      <w:pPr>
        <w:keepLines w:val="0"/>
        <w:jc w:val="both"/>
        <w:widowControl w:val="true"/>
      </w:pPr>
      <w:r>
        <w:t>Aucune Partie n’est responsable d’un manquement causé par un événement répondant à l’article 1218 du Code civil. Sont susceptibles de relever de cette qualification, selon leurs circonstances, catastrophe naturelle, incendie, inondation, tempête exceptionnelle, épidémie, conflit, embargo, grève extérieure, décision d’autorité, cyberattaque majeure ou interruption générale des réseaux.</w:t>
      </w:r>
    </w:p>
    <w:p>
      <w:pPr>
        <w:keepLines w:val="0"/>
        <w:jc w:val="both"/>
        <w:widowControl w:val="true"/>
      </w:pPr>
      <w:r>
        <w:t>La Partie empêchée informe l’autre et limite les effets. Les obligations affectées sont suspendues. Si l’empêchement prive durablement le Contrat d’utilité au-delà de soixante jours, chaque Partie peut résilier la partie affectée, les prestations exécutées et frais irrévocables restant dus.</w:t>
      </w:r>
    </w:p>
    <w:p>
      <w:pPr>
        <w:pStyle w:val="Heading1"/>
        <w:jc w:val="left"/>
        <w:numPr>
          <w:ilvl w:val="0"/>
          <w:numId w:val="42"/>
        </w:numPr>
        <w:widowControl w:val="true"/>
      </w:pPr>
      <w:r>
        <w:t>Événements perturbateurs hors force majeure</w:t>
      </w:r>
    </w:p>
    <w:p>
      <w:pPr>
        <w:keepLines w:val="0"/>
        <w:jc w:val="both"/>
        <w:widowControl w:val="true"/>
      </w:pPr>
      <w:r>
        <w:t>Une pénurie, un retard de transport, une rupture de stock, une intempérie ordinaire, une difficulté d’accès ou une indisponibilité de personnel ne constitue pas nécessairement une force majeure. Lorsqu’elle échappe néanmoins au contrôle raisonnable de VBT AUTOMATISMES, elle autorise une adaptation du calendrier et des moyens sans pénalité.</w:t>
      </w:r>
    </w:p>
    <w:p>
      <w:pPr>
        <w:keepLines w:val="0"/>
        <w:jc w:val="both"/>
        <w:widowControl w:val="true"/>
      </w:pPr>
      <w:r>
        <w:t>Les Parties recherchent une solution proportionnée : substitution, phasage, stockage, prestation provisoire ou nouveau créneau. Toute modification de prix requiert l’accord du Client, sauf mécanisme de révision déjà convenu.</w:t>
      </w:r>
    </w:p>
    <w:p>
      <w:pPr>
        <w:pStyle w:val="Heading1"/>
        <w:jc w:val="left"/>
        <w:numPr>
          <w:ilvl w:val="0"/>
          <w:numId w:val="42"/>
        </w:numPr>
        <w:widowControl w:val="true"/>
      </w:pPr>
      <w:r>
        <w:t>Suspension pour cause technique ou de sécurité</w:t>
      </w:r>
    </w:p>
    <w:p>
      <w:pPr>
        <w:keepLines w:val="0"/>
        <w:jc w:val="both"/>
        <w:widowControl w:val="true"/>
      </w:pPr>
      <w:r>
        <w:t>VBT AUTOMATISMES peut suspendre immédiatement une prestation ou refuser une remise en service lorsque l’installation, l’environnement, l’accès, un dispositif neutralisé ou une instruction du Client crée un danger ou empêche un travail conforme.</w:t>
      </w:r>
    </w:p>
    <w:p>
      <w:pPr>
        <w:keepLines w:val="0"/>
        <w:jc w:val="both"/>
        <w:widowControl w:val="true"/>
      </w:pPr>
      <w:r>
        <w:t>La suspension est motivée et dure jusqu’à suppression de la cause. Les coûts de sécurisation, déplacement, stockage et reprogrammation imputables au Client sont facturables. Cette mesure ne transfère pas à VBT AUTOMATISMES la garde générale du Site.</w:t>
      </w:r>
    </w:p>
    <w:p>
      <w:pPr>
        <w:pStyle w:val="Heading1"/>
        <w:jc w:val="left"/>
        <w:numPr>
          <w:ilvl w:val="0"/>
          <w:numId w:val="42"/>
        </w:numPr>
        <w:widowControl w:val="true"/>
      </w:pPr>
      <w:r>
        <w:t>Refus de réparation ou de mise en conformité</w:t>
      </w:r>
    </w:p>
    <w:p>
      <w:pPr>
        <w:keepLines w:val="0"/>
        <w:jc w:val="both"/>
        <w:widowControl w:val="true"/>
      </w:pPr>
      <w:r>
        <w:t>Lorsque VBT AUTOMATISMES recommande une réparation, sécurisation ou mise en conformité, le Client décide dans le cadre de ses responsabilités. Un refus ou une absence de réponse ne permet pas de continuer à utiliser un Équipement dangereux.</w:t>
      </w:r>
    </w:p>
    <w:p>
      <w:pPr>
        <w:keepLines w:val="0"/>
        <w:jc w:val="both"/>
        <w:widowControl w:val="true"/>
      </w:pPr>
      <w:r>
        <w:t>VBT AUTOMATISMES peut exclure l’Équipement du périmètre, suspendre les prestations liées et résilier en cas de persistance. Elle n’est pas responsable d’un dommage causalement lié au refus ou au maintien en service malgré l’alerte, sous réserve de sa faute propre.</w:t>
      </w:r>
    </w:p>
    <w:p>
      <w:pPr>
        <w:pStyle w:val="Heading1"/>
        <w:jc w:val="left"/>
        <w:numPr>
          <w:ilvl w:val="0"/>
          <w:numId w:val="42"/>
        </w:numPr>
        <w:widowControl w:val="true"/>
      </w:pPr>
      <w:r>
        <w:t>Résiliation pour manquement</w:t>
      </w:r>
    </w:p>
    <w:p>
      <w:pPr>
        <w:keepLines w:val="0"/>
        <w:jc w:val="both"/>
        <w:widowControl w:val="true"/>
      </w:pPr>
      <w:r>
        <w:t>En cas de manquement suffisamment grave, la Partie non défaillante peut résilier quinze jours après une mise en demeure restée sans effet. Le délai peut être réduit ou supprimé en cas d’urgence de sécurité, violation irréversible, refus persistant d’accès ou impossibilité manifeste de poursuivre.</w:t>
      </w:r>
    </w:p>
    <w:p>
      <w:pPr>
        <w:keepLines w:val="0"/>
        <w:jc w:val="both"/>
        <w:widowControl w:val="true"/>
      </w:pPr>
      <w:r>
        <w:t>La résiliation n’affecte pas les créances, garanties et responsabilités nées antérieurement. Les prestations réalisées, matériels commandés, frais engagés et indemnités applicables sont immédiatement exigibles.</w:t>
      </w:r>
    </w:p>
    <w:p>
      <w:pPr>
        <w:pStyle w:val="Heading1"/>
        <w:jc w:val="left"/>
        <w:numPr>
          <w:ilvl w:val="0"/>
          <w:numId w:val="42"/>
        </w:numPr>
        <w:widowControl w:val="true"/>
      </w:pPr>
      <w:r>
        <w:t>Conséquences de la fin du Contrat</w:t>
      </w:r>
    </w:p>
    <w:p>
      <w:pPr>
        <w:keepLines w:val="0"/>
        <w:jc w:val="both"/>
        <w:widowControl w:val="true"/>
      </w:pPr>
      <w:r>
        <w:t>VBT AUTOMATISMES restitue, après paiement, les documents du Client et remet les rapports dus. Le Client permet la récupération des matériels appartenant à VBT AUTOMATISMES et règle les frais de repli ou de conservation.</w:t>
      </w:r>
    </w:p>
    <w:p>
      <w:pPr>
        <w:keepLines w:val="0"/>
        <w:jc w:val="both"/>
        <w:widowControl w:val="true"/>
      </w:pPr>
      <w:r>
        <w:t>Les clauses de confidentialité, propriété intellectuelle, réserve de propriété, responsabilité, paiement, droit applicable et règlement des litiges survivent selon leur objet.</w:t>
      </w:r>
    </w:p>
    <w:p>
      <w:pPr>
        <w:pStyle w:val="Heading1"/>
        <w:jc w:val="left"/>
        <w:numPr>
          <w:ilvl w:val="0"/>
          <w:numId w:val="42"/>
        </w:numPr>
        <w:widowControl w:val="true"/>
      </w:pPr>
      <w:r>
        <w:t>Obligations de VBT AUTOMATISMES</w:t>
      </w:r>
    </w:p>
    <w:p>
      <w:pPr>
        <w:keepLines w:val="0"/>
        <w:jc w:val="both"/>
        <w:widowControl w:val="true"/>
      </w:pPr>
      <w:r>
        <w:t>VBT AUTOMATISMES exécute les prestations avec diligence et selon les règles de l’art applicables à la mission, avec du personnel compétent. Elle informe le Client des anomalies apparentes et des difficultés significatives rencontrées.</w:t>
      </w:r>
    </w:p>
    <w:p>
      <w:pPr>
        <w:keepLines w:val="0"/>
        <w:jc w:val="both"/>
        <w:widowControl w:val="true"/>
      </w:pPr>
      <w:r>
        <w:t>Sauf garantie de résultat expressément stipulée, ses obligations sont des obligations de moyens. Elle ne garantit pas l’absence de panne, l’inviolabilité d’un accès, la disponibilité d’un réseau tiers ni la prévention de tout acte malveillant.</w:t>
      </w:r>
    </w:p>
    <w:p>
      <w:pPr>
        <w:pStyle w:val="Heading1"/>
        <w:jc w:val="left"/>
        <w:numPr>
          <w:ilvl w:val="0"/>
          <w:numId w:val="42"/>
        </w:numPr>
        <w:widowControl w:val="true"/>
      </w:pPr>
      <w:r>
        <w:t>Obligations générales du Client</w:t>
      </w:r>
    </w:p>
    <w:p>
      <w:pPr>
        <w:keepLines w:val="0"/>
        <w:jc w:val="both"/>
        <w:widowControl w:val="true"/>
      </w:pPr>
      <w:r>
        <w:t>Le Client coopère, paie le prix, fournit les accès, informations, décisions et autorisations, assure la sécurité générale du Site et respecte les notices. Il surveille l’usage, protège les équipements et signale sans délai toute anomalie.</w:t>
      </w:r>
    </w:p>
    <w:p>
      <w:pPr>
        <w:keepLines w:val="0"/>
        <w:jc w:val="both"/>
        <w:widowControl w:val="true"/>
      </w:pPr>
      <w:r>
        <w:t>Il ne modifie pas, ne reprogramme pas et ne fait pas intervenir un tiers sans information préalable. Il maintient les alimentations, réseaux, supports, éclairages, marquages, évacuations et protections relevant de son périmètre.</w:t>
      </w:r>
    </w:p>
    <w:p>
      <w:pPr>
        <w:pStyle w:val="Heading1"/>
        <w:jc w:val="left"/>
        <w:numPr>
          <w:ilvl w:val="0"/>
          <w:numId w:val="42"/>
        </w:numPr>
        <w:widowControl w:val="true"/>
      </w:pPr>
      <w:r>
        <w:t>Principe de responsabilité</w:t>
      </w:r>
    </w:p>
    <w:p>
      <w:pPr>
        <w:keepLines w:val="0"/>
        <w:jc w:val="both"/>
        <w:widowControl w:val="true"/>
      </w:pPr>
      <w:r>
        <w:t>Chaque Partie répond des dommages directs et prévisibles causés par une faute contractuelle prouvée. Le Client établit la faute, le dommage et le lien causal. Il prend toute mesure raisonnable pour prévenir et limiter l’aggravation.</w:t>
      </w:r>
    </w:p>
    <w:p>
      <w:pPr>
        <w:keepLines w:val="0"/>
        <w:jc w:val="both"/>
        <w:widowControl w:val="true"/>
      </w:pPr>
      <w:r>
        <w:t>VBT AUTOMATISMES n’est pas responsable d’un vice non apparent, défaut préexistant, vétusté, obsolescence, cause externe, mauvaise utilisation, intervention de tiers, refus de travaux, information omise ou événement relevant du Client, sauf contribution fautive démontrée.</w:t>
      </w:r>
    </w:p>
    <w:p>
      <w:pPr>
        <w:pStyle w:val="Heading1"/>
        <w:jc w:val="left"/>
        <w:numPr>
          <w:ilvl w:val="0"/>
          <w:numId w:val="42"/>
        </w:numPr>
        <w:widowControl w:val="true"/>
      </w:pPr>
      <w:r>
        <w:t>Dommages indirects</w:t>
      </w:r>
    </w:p>
    <w:p>
      <w:pPr>
        <w:keepLines w:val="0"/>
        <w:jc w:val="both"/>
        <w:widowControl w:val="true"/>
      </w:pPr>
      <w:r>
        <w:t>Sauf faute lourde ou dolosive, dommage corporel, garantie légale impérative ou atteinte à une obligation essentielle vidée de sa substance, VBT AUTOMATISMES ne répond pas des dommages indirects ou immatériels.</w:t>
      </w:r>
    </w:p>
    <w:p>
      <w:pPr>
        <w:keepLines w:val="0"/>
        <w:jc w:val="both"/>
        <w:widowControl w:val="true"/>
      </w:pPr>
      <w:r>
        <w:t>Sont notamment considérés comme indirects : perte d’exploitation, de production, de chiffre d’affaires, de marge, de clientèle, de données, d’usage, de loyers, surcoûts de gestion, pénalités dues à des tiers, atteinte à l’image et réclamations des utilisateurs non directement causées par la faute.</w:t>
      </w:r>
    </w:p>
    <w:p>
      <w:pPr>
        <w:pStyle w:val="Heading1"/>
        <w:jc w:val="left"/>
        <w:numPr>
          <w:ilvl w:val="0"/>
          <w:numId w:val="42"/>
        </w:numPr>
        <w:widowControl w:val="true"/>
      </w:pPr>
      <w:r>
        <w:t>Plafond de responsabilité</w:t>
      </w:r>
    </w:p>
    <w:p>
      <w:pPr>
        <w:keepLines w:val="0"/>
        <w:jc w:val="both"/>
        <w:widowControl w:val="true"/>
      </w:pPr>
      <w:r>
        <w:t>Sous les réserves légales rappelées ci-dessus, la responsabilité cumulée de VBT AUTOMATISMES est plafonnée au montant HT effectivement payé au titre de la Commande à l’origine du dommage. Pour un contrat à exécution successive, le plafond correspond aux sommes HT payées pendant les douze mois précédant le fait générateur.</w:t>
      </w:r>
    </w:p>
    <w:p>
      <w:pPr>
        <w:keepLines w:val="0"/>
        <w:jc w:val="both"/>
        <w:widowControl w:val="true"/>
      </w:pPr>
      <w:r>
        <w:t>Le plafond ne s’applique pas aux dommages corporels, fautes lourdes ou dolosives, responsabilités décennales lorsqu’elles sont légalement engagées, ni aux cas dans lesquels une limitation est interdite. Plusieurs faits connexes constituent un même sinistre.</w:t>
      </w:r>
      <w:r>
        <w:t xml:space="preserve"> Les limitations et exclusions de responsabilité prévues par les présentes CGV s’appliquent uniquement dans les limites autorisées par les dispositions impératives du droit français et, lorsqu’elles sont applicables, par les dispositions protectrices du Code de la consommation relatives aux non-professionnels.</w:t>
      </w:r>
    </w:p>
    <w:p>
      <w:pPr>
        <w:pStyle w:val="Heading1"/>
        <w:jc w:val="left"/>
        <w:numPr>
          <w:ilvl w:val="0"/>
          <w:numId w:val="42"/>
        </w:numPr>
        <w:widowControl w:val="true"/>
      </w:pPr>
      <w:r>
        <w:t>Assurances</w:t>
      </w:r>
    </w:p>
    <w:p>
      <w:pPr>
        <w:keepLines w:val="0"/>
        <w:jc w:val="both"/>
        <w:widowControl w:val="true"/>
      </w:pPr>
      <w:r>
        <w:t>VBT AUTOMATISMES maintient les assurances de responsabilité civile professionnelle et, pour les activités concernées, les assurances construction requises. Une attestation en cours de validité est remise sur demande.</w:t>
      </w:r>
    </w:p>
    <w:p>
      <w:pPr>
        <w:keepLines w:val="0"/>
        <w:jc w:val="both"/>
        <w:widowControl w:val="true"/>
      </w:pPr>
      <w:r>
        <w:t>Le Client assure le Site, les Équipements, ses activités, pertes d’exploitation et responsabilités envers les tiers. Il déclare à son assureur toute modification significative et renonce à exercer un recours au-delà des responsabilités contractuellement assumées, sous réserve de l’accord de son assureur.</w:t>
      </w:r>
    </w:p>
    <w:p>
      <w:pPr>
        <w:pStyle w:val="Heading1"/>
        <w:jc w:val="left"/>
        <w:numPr>
          <w:ilvl w:val="0"/>
          <w:numId w:val="42"/>
        </w:numPr>
        <w:widowControl w:val="true"/>
      </w:pPr>
      <w:r>
        <w:t>Sous-traitance</w:t>
      </w:r>
    </w:p>
    <w:p>
      <w:pPr>
        <w:keepLines w:val="0"/>
        <w:jc w:val="both"/>
        <w:widowControl w:val="true"/>
      </w:pPr>
      <w:r>
        <w:t>VBT AUTOMATISMES peut sous-traiter une partie des prestations à un intervenant qualifié, sous sa responsabilité contractuelle, sous réserve des règles d’acceptation et d’agrément applicables aux marchés publics.</w:t>
      </w:r>
    </w:p>
    <w:p>
      <w:pPr>
        <w:keepLines w:val="0"/>
        <w:jc w:val="both"/>
        <w:widowControl w:val="true"/>
      </w:pPr>
      <w:r>
        <w:t>Le Client facilite l’accès du sous-traitant. La sous-traitance n’autorise pas le Client à lui donner directement des ordres modifiant le Contrat.</w:t>
      </w:r>
    </w:p>
    <w:p>
      <w:pPr>
        <w:pStyle w:val="Heading1"/>
        <w:jc w:val="left"/>
        <w:numPr>
          <w:ilvl w:val="0"/>
          <w:numId w:val="42"/>
        </w:numPr>
        <w:widowControl w:val="true"/>
      </w:pPr>
      <w:r>
        <w:t>Réserve de propriété</w:t>
      </w:r>
    </w:p>
    <w:p>
      <w:pPr>
        <w:keepLines w:val="0"/>
        <w:jc w:val="both"/>
        <w:widowControl w:val="true"/>
      </w:pPr>
      <w:r>
        <w:t>VBT AUTOMATISMES conserve la propriété des matériels identifiables jusqu’au complet paiement du prix, accessoires et intérêts. Le Client les conserve, les assure et ne les revend ni ne les donne en garantie avant paiement.</w:t>
      </w:r>
    </w:p>
    <w:p>
      <w:pPr>
        <w:keepLines w:val="0"/>
        <w:jc w:val="both"/>
        <w:widowControl w:val="true"/>
      </w:pPr>
      <w:r>
        <w:t>La clause s’applique dans la mesure compatible avec l’incorporation des biens. En cas d’impayé, VBT AUTOMATISMES peut revendiquer les biens récupérables, sans préjudice des sommes dues et des droits des tiers.</w:t>
      </w:r>
    </w:p>
    <w:p>
      <w:pPr>
        <w:widowControl w:val="true"/>
      </w:pPr>
      <w:r>
        <w:br w:type="page"/>
      </w:r>
    </w:p>
    <w:p>
      <w:pPr>
        <w:pStyle w:val="Title"/>
        <w:jc w:val="left"/>
        <w:widowControl w:val="true"/>
      </w:pPr>
      <w:r>
        <w:t>PARTIE VII — DISPOSITIONS GÉNÉRALES</w:t>
      </w:r>
    </w:p>
    <w:p>
      <w:pPr>
        <w:pStyle w:val="Subtitle"/>
        <w:jc w:val="left"/>
        <w:widowControl w:val="true"/>
      </w:pPr>
      <w:r>
        <w:t>Confidentialité, données, propriété intellectuelle, cession, droit applicable et publication</w:t>
      </w:r>
    </w:p>
    <w:p>
      <w:pPr>
        <w:pStyle w:val="Heading1"/>
        <w:jc w:val="left"/>
        <w:numPr>
          <w:ilvl w:val="0"/>
          <w:numId w:val="42"/>
        </w:numPr>
        <w:widowControl w:val="true"/>
      </w:pPr>
      <w:r>
        <w:t>Confidentialité</w:t>
      </w:r>
    </w:p>
    <w:p>
      <w:pPr>
        <w:keepLines w:val="0"/>
        <w:jc w:val="both"/>
        <w:widowControl w:val="true"/>
      </w:pPr>
      <w:r>
        <w:t>Chaque Partie protège les informations techniques, commerciales, financières, de sécurité, plans, codes et configurations reçus et non publics. Elle ne les utilise que pour le Contrat et ne les divulgue qu’aux personnes ayant besoin d’en connaître.</w:t>
      </w:r>
    </w:p>
    <w:p>
      <w:pPr>
        <w:keepLines w:val="0"/>
        <w:jc w:val="both"/>
        <w:widowControl w:val="true"/>
      </w:pPr>
      <w:r>
        <w:t>L’obligation ne couvre pas une information publique, déjà connue licitement, obtenue d’un tiers autorisé ou dont la divulgation est légalement requise. Elle subsiste trois ans après la fin, sans limite pour les secrets d’affaires tant qu’ils conservent ce caractère.</w:t>
      </w:r>
    </w:p>
    <w:p>
      <w:pPr>
        <w:pStyle w:val="Heading1"/>
        <w:jc w:val="left"/>
        <w:numPr>
          <w:ilvl w:val="0"/>
          <w:numId w:val="42"/>
        </w:numPr>
        <w:widowControl w:val="true"/>
      </w:pPr>
      <w:r>
        <w:t>Données personnelles</w:t>
      </w:r>
    </w:p>
    <w:p>
      <w:pPr>
        <w:keepLines w:val="0"/>
        <w:jc w:val="both"/>
        <w:widowControl w:val="true"/>
      </w:pPr>
      <w:r>
        <w:t>Chaque Partie traite les coordonnées professionnelles des interlocuteurs comme responsable indépendant pour gérer devis, commandes, accès, interventions, facturation, sécurité, contentieux et obligations légales. Les données sont limitées à ce qui est nécessaire et conservées pendant les durées contractuelles et légales.</w:t>
      </w:r>
    </w:p>
    <w:p>
      <w:pPr>
        <w:keepLines w:val="0"/>
        <w:jc w:val="both"/>
        <w:widowControl w:val="true"/>
      </w:pPr>
      <w:r>
        <w:t>Les personnes peuvent exercer leurs droits auprès de contact@vbt-automatismes.com et saisir la CNIL. Les traitements propres aux systèmes de contrôle d’accès, badges, interphones, visiophones ou vidéos du Client restent sous la responsabilité de celui-ci, sauf mission écrite distincte de sous-traitant au sens du RGPD.</w:t>
      </w:r>
    </w:p>
    <w:p>
      <w:pPr>
        <w:pStyle w:val="Heading1"/>
        <w:jc w:val="left"/>
        <w:numPr>
          <w:ilvl w:val="0"/>
          <w:numId w:val="42"/>
        </w:numPr>
        <w:widowControl w:val="true"/>
      </w:pPr>
      <w:r>
        <w:t>Cybersécurité et identifiants</w:t>
      </w:r>
    </w:p>
    <w:p>
      <w:pPr>
        <w:keepLines w:val="0"/>
        <w:jc w:val="both"/>
        <w:widowControl w:val="true"/>
      </w:pPr>
      <w:r>
        <w:t>Le Client protège les comptes administrateurs, mots de passe, réseaux, sauvegardes, mises à jour et accès distants. Il change les identifiants par défaut et informe VBT AUTOMATISMES de tout incident affectant l’intervention.</w:t>
      </w:r>
    </w:p>
    <w:p>
      <w:pPr>
        <w:keepLines w:val="0"/>
        <w:jc w:val="both"/>
        <w:widowControl w:val="true"/>
      </w:pPr>
      <w:r>
        <w:t>VBT AUTOMATISMES applique des mesures raisonnables à son périmètre, mais ne garantit pas l’inviolabilité d’un système connecté. Une mission d’audit, de supervision ou de sauvegarde permanente doit être expressément commandée.</w:t>
      </w:r>
    </w:p>
    <w:p>
      <w:pPr>
        <w:pStyle w:val="Heading1"/>
        <w:jc w:val="left"/>
        <w:numPr>
          <w:ilvl w:val="0"/>
          <w:numId w:val="42"/>
        </w:numPr>
        <w:widowControl w:val="true"/>
      </w:pPr>
      <w:r>
        <w:t>Propriété intellectuelle</w:t>
      </w:r>
    </w:p>
    <w:p>
      <w:pPr>
        <w:keepLines w:val="0"/>
        <w:jc w:val="both"/>
        <w:widowControl w:val="true"/>
      </w:pPr>
      <w:r>
        <w:t>VBT AUTOMATISMES demeure titulaire de ses méthodes, études, schémas, plans, programmes, paramétrages génériques, bibliothèques, devis et savoir-faire. Leur remise ne transfère aucun droit de reproduction ou d’exploitation au-delà des besoins internes du Site.</w:t>
      </w:r>
    </w:p>
    <w:p>
      <w:pPr>
        <w:keepLines w:val="0"/>
        <w:jc w:val="both"/>
        <w:widowControl w:val="true"/>
      </w:pPr>
      <w:r>
        <w:t>Après complet paiement, le Client bénéficie d’un droit non exclusif d’utilisation des livrables spécialement créés pour exploiter les Équipements. Les composants et logiciels tiers restent soumis à leurs licences.</w:t>
      </w:r>
    </w:p>
    <w:p>
      <w:pPr>
        <w:pStyle w:val="Heading1"/>
        <w:jc w:val="left"/>
        <w:numPr>
          <w:ilvl w:val="0"/>
          <w:numId w:val="42"/>
        </w:numPr>
        <w:widowControl w:val="true"/>
      </w:pPr>
      <w:r>
        <w:t>Références commerciales</w:t>
      </w:r>
    </w:p>
    <w:p>
      <w:pPr>
        <w:keepLines w:val="0"/>
        <w:jc w:val="both"/>
        <w:widowControl w:val="true"/>
      </w:pPr>
      <w:r>
        <w:t>VBT AUTOMATISMES ne publie le nom, la marque ou des images identifiables du Client comme référence qu’avec son accord. Les photographies techniques non identifiantes peuvent être conservées comme preuve d’intervention, sous réserve des règles de confidentialité et de données.</w:t>
      </w:r>
    </w:p>
    <w:p>
      <w:pPr>
        <w:pStyle w:val="Heading1"/>
        <w:jc w:val="left"/>
        <w:numPr>
          <w:ilvl w:val="0"/>
          <w:numId w:val="42"/>
        </w:numPr>
        <w:widowControl w:val="true"/>
      </w:pPr>
      <w:r>
        <w:t>Cession du Contrat</w:t>
      </w:r>
    </w:p>
    <w:p>
      <w:pPr>
        <w:keepLines w:val="0"/>
        <w:jc w:val="both"/>
        <w:widowControl w:val="true"/>
      </w:pPr>
      <w:r>
        <w:t>VBT AUTOMATISMES peut céder le Contrat à une société venant à ses droits par fusion, apport ou transmission d’activité, sous réserve d’en informer le Client. Toute autre cession requiert son accord lorsqu’elle modifie substantiellement ses garanties.</w:t>
      </w:r>
    </w:p>
    <w:p>
      <w:pPr>
        <w:keepLines w:val="0"/>
        <w:jc w:val="both"/>
        <w:widowControl w:val="true"/>
      </w:pPr>
      <w:r>
        <w:t>Le Client ne cède pas la Commande sans accord écrit. Le changement de propriétaire du Site ou de syndic n’emporte pas transfert automatique des obligations sans les formalités nécessaires.</w:t>
      </w:r>
    </w:p>
    <w:p>
      <w:pPr>
        <w:pStyle w:val="Heading1"/>
        <w:jc w:val="left"/>
        <w:numPr>
          <w:ilvl w:val="0"/>
          <w:numId w:val="42"/>
        </w:numPr>
        <w:widowControl w:val="true"/>
      </w:pPr>
      <w:r>
        <w:t>Imprévision</w:t>
      </w:r>
    </w:p>
    <w:p>
      <w:pPr>
        <w:keepLines w:val="0"/>
        <w:jc w:val="both"/>
        <w:widowControl w:val="true"/>
      </w:pPr>
      <w:r>
        <w:t>Si un changement de circonstances imprévisible rend l’exécution excessivement onéreuse, les Parties négocient de bonne foi une adaptation conformément à l’article 1195 du Code civil. Pendant la négociation, elles poursuivent les obligations raisonnablement exécutables.</w:t>
      </w:r>
    </w:p>
    <w:p>
      <w:pPr>
        <w:keepLines w:val="0"/>
        <w:jc w:val="both"/>
        <w:widowControl w:val="true"/>
      </w:pPr>
      <w:r>
        <w:t>À défaut d’accord, chacune conserve les droits prévus par la loi. Cette clause ne se confond pas avec la révision de prix ni avec un simple retard fournisseur.</w:t>
      </w:r>
    </w:p>
    <w:p>
      <w:pPr>
        <w:pStyle w:val="Heading1"/>
        <w:jc w:val="left"/>
        <w:numPr>
          <w:ilvl w:val="0"/>
          <w:numId w:val="42"/>
        </w:numPr>
        <w:widowControl w:val="true"/>
      </w:pPr>
      <w:r>
        <w:t>Notifications et preuve</w:t>
      </w:r>
    </w:p>
    <w:p>
      <w:pPr>
        <w:keepLines w:val="0"/>
        <w:jc w:val="both"/>
        <w:widowControl w:val="true"/>
      </w:pPr>
      <w:r>
        <w:t>Les échanges courants peuvent être réalisés par courriel. Les mises en demeure, résiliations, refus de renouvellement et notifications affectant substantiellement le Contrat sont adressés par lettre recommandée ou courriel permettant d’établir la réception.</w:t>
      </w:r>
    </w:p>
    <w:p>
      <w:pPr>
        <w:keepLines w:val="0"/>
        <w:jc w:val="both"/>
        <w:widowControl w:val="true"/>
      </w:pPr>
      <w:r>
        <w:t>Les devis signés électroniquement, courriels, journaux d’intervention, rapports, photographies horodatées et enregistrements du système d’information constituent des moyens de preuve recevables, sous réserve de la preuve contraire.</w:t>
      </w:r>
    </w:p>
    <w:p>
      <w:pPr>
        <w:pStyle w:val="Heading1"/>
        <w:jc w:val="left"/>
        <w:numPr>
          <w:ilvl w:val="0"/>
          <w:numId w:val="42"/>
        </w:numPr>
        <w:widowControl w:val="true"/>
      </w:pPr>
      <w:r>
        <w:t>Nullité partielle</w:t>
      </w:r>
    </w:p>
    <w:p>
      <w:pPr>
        <w:keepLines w:val="0"/>
        <w:jc w:val="both"/>
        <w:widowControl w:val="true"/>
      </w:pPr>
      <w:r>
        <w:t>La nullité ou l’inapplicabilité d’une stipulation n’affecte pas les autres. Les Parties la remplacent par une stipulation valable d’effet économique aussi proche que possible, sans altérer l’équilibre général.</w:t>
      </w:r>
    </w:p>
    <w:p>
      <w:pPr>
        <w:pStyle w:val="Heading1"/>
        <w:jc w:val="left"/>
        <w:numPr>
          <w:ilvl w:val="0"/>
          <w:numId w:val="42"/>
        </w:numPr>
        <w:widowControl w:val="true"/>
      </w:pPr>
      <w:r>
        <w:t>Non-renonciation</w:t>
      </w:r>
    </w:p>
    <w:p>
      <w:pPr>
        <w:keepLines w:val="0"/>
        <w:jc w:val="both"/>
        <w:widowControl w:val="true"/>
      </w:pPr>
      <w:r>
        <w:t>Le fait de ne pas exercer un droit ou de tolérer un manquement ne vaut pas renonciation. Une renonciation n’est opposable que si elle est écrite et limitée à son objet.</w:t>
      </w:r>
    </w:p>
    <w:p>
      <w:pPr>
        <w:pStyle w:val="Heading1"/>
        <w:jc w:val="left"/>
        <w:numPr>
          <w:ilvl w:val="0"/>
          <w:numId w:val="42"/>
        </w:numPr>
        <w:widowControl w:val="true"/>
      </w:pPr>
      <w:r>
        <w:t>Intégralité et modification</w:t>
      </w:r>
    </w:p>
    <w:p>
      <w:pPr>
        <w:keepLines w:val="0"/>
        <w:jc w:val="both"/>
        <w:widowControl w:val="true"/>
      </w:pPr>
      <w:r>
        <w:t>Le Contrat exprime l’accord relatif à son objet et remplace les échanges antérieurs. Toute modification doit être écrite, sauf mécanisme de révision ou instruction valablement prévue.</w:t>
      </w:r>
    </w:p>
    <w:p>
      <w:pPr>
        <w:keepLines w:val="0"/>
        <w:jc w:val="both"/>
        <w:widowControl w:val="true"/>
      </w:pPr>
      <w:r>
        <w:t>La version des CGV applicable est celle acceptée à la Commande. Une nouvelle version publiée sur le site ne modifie pas rétroactivement un Contrat en cours, sauf accord ou disposition impérative.</w:t>
      </w:r>
    </w:p>
    <w:p>
      <w:pPr>
        <w:pStyle w:val="Heading1"/>
        <w:jc w:val="left"/>
        <w:numPr>
          <w:ilvl w:val="0"/>
          <w:numId w:val="42"/>
        </w:numPr>
        <w:widowControl w:val="true"/>
      </w:pPr>
      <w:r>
        <w:t>Reconduction des contrats de services</w:t>
      </w:r>
    </w:p>
    <w:p>
      <w:pPr>
        <w:keepLines w:val="0"/>
        <w:jc w:val="both"/>
        <w:widowControl w:val="true"/>
      </w:pPr>
      <w:r>
        <w:t>Lorsque le Client est un non-professionnel et qu’un contrat de services prévoit une reconduction tacite, VBT AUTOMATISMES applique les articles L. 215-1 et L. 215-3 du Code de la consommation, notamment l’information écrite sur la faculté et la date limite de non-reconduction.</w:t>
      </w:r>
    </w:p>
    <w:p>
      <w:pPr>
        <w:keepLines w:val="0"/>
        <w:jc w:val="both"/>
        <w:widowControl w:val="true"/>
      </w:pPr>
      <w:r>
        <w:t>Les conditions particulières du contrat fixent sa durée et son préavis. Les règles impératives de résiliation électronique sont respectées lorsqu’elles sont applicables.</w:t>
      </w:r>
    </w:p>
    <w:p>
      <w:pPr>
        <w:pStyle w:val="Heading1"/>
        <w:jc w:val="left"/>
        <w:numPr>
          <w:ilvl w:val="0"/>
          <w:numId w:val="42"/>
        </w:numPr>
        <w:widowControl w:val="true"/>
      </w:pPr>
      <w:r>
        <w:t>Droit applicable</w:t>
      </w:r>
    </w:p>
    <w:p>
      <w:pPr>
        <w:keepLines w:val="0"/>
        <w:jc w:val="both"/>
        <w:widowControl w:val="true"/>
      </w:pPr>
      <w:r>
        <w:t>Le Contrat est soumis au droit français. Pour un marché public, les règles de droit public et les pièces du marché s’appliquent dans leur domaine.</w:t>
      </w:r>
    </w:p>
    <w:p>
      <w:pPr>
        <w:pStyle w:val="Heading1"/>
        <w:jc w:val="left"/>
        <w:numPr>
          <w:ilvl w:val="0"/>
          <w:numId w:val="42"/>
        </w:numPr>
        <w:widowControl w:val="true"/>
      </w:pPr>
      <w:r>
        <w:t>Règlement amiable</w:t>
      </w:r>
    </w:p>
    <w:p>
      <w:pPr>
        <w:keepLines w:val="0"/>
        <w:jc w:val="both"/>
        <w:widowControl w:val="true"/>
      </w:pPr>
      <w:r>
        <w:t>Avant toute action, les Parties tentent une résolution par échange écrit puis réunion de responsables habilités. Cette démarche n’interdit ni référé, ni mesure conservatoire, ni action nécessaire pour interrompre un délai.</w:t>
      </w:r>
    </w:p>
    <w:p>
      <w:pPr>
        <w:pStyle w:val="Heading1"/>
        <w:jc w:val="left"/>
        <w:numPr>
          <w:ilvl w:val="0"/>
          <w:numId w:val="42"/>
        </w:numPr>
        <w:widowControl w:val="true"/>
      </w:pPr>
      <w:r>
        <w:t>Juridiction compétente</w:t>
      </w:r>
    </w:p>
    <w:tbl>
      <w:tblPr>
        <w:tblStyle w:val="TableGrid"/>
        <w:tblW w:type="dxa" w:w="9298"/>
        <w:jc w:val="center"/>
        <w:tblLayout w:type="fixed"/>
        <w:tblLook w:firstColumn="1" w:firstRow="1" w:lastColumn="0" w:lastRow="0" w:noHBand="0" w:noVBand="1" w:val="04A0"/>
        <w:tblInd w:w="120" w:type="dxa"/>
      </w:tblPr>
      <w:tblGrid>
        <w:gridCol w:w="9298"/>
      </w:tblGrid>
      <w:tr>
        <w:tc>
          <w:tcPr>
            <w:tcW w:type="dxa" w:w="9298"/>
            <w:tcMar>
              <w:top w:w="90" w:type="dxa"/>
              <w:start w:w="120" w:type="dxa"/>
              <w:bottom w:w="90" w:type="dxa"/>
              <w:end w:w="120" w:type="dxa"/>
            </w:tcMar>
            <w:vAlign w:val="center"/>
            <w:shd w:fill="EAF0F6"/>
          </w:tcPr>
          <w:p>
            <w:pPr>
              <w:spacing w:after="80"/>
              <w:jc w:val="left"/>
            </w:pPr>
            <w:r>
              <w:rPr>
                <w:b/>
                <w:color w:val="17365D"/>
              </w:rPr>
              <w:t>CLAUSE ATTRIBUTIVE ENTRE COMMERÇANTS</w:t>
            </w:r>
          </w:p>
          <w:p>
            <w:pPr>
              <w:spacing w:after="0"/>
              <w:jc w:val="left"/>
            </w:pPr>
            <w:r>
              <w:t>SI LE CLIENT ET VBT AUTOMATISMES ONT TOUS DEUX LA QUALITÉ DE COMMERÇANT, TOUT LITIGE RELATIF AU CONTRAT RELÈVE DE LA COMPÉTENCE EXCLUSIVE DU TRIBUNAL DE COMMERCE DE SALON-DE-PROVENCE, Y COMPRIS EN CAS DE PLURALITÉ DE DÉFENDEURS OU D’APPEL EN GARANTIE.</w:t>
            </w:r>
          </w:p>
        </w:tc>
      </w:tr>
    </w:tbl>
    <w:p>
      <w:pPr>
        <w:spacing w:after="20"/>
        <w:widowControl w:val="true"/>
      </w:pPr>
    </w:p>
    <w:p>
      <w:pPr>
        <w:keepLines w:val="0"/>
        <w:jc w:val="both"/>
        <w:widowControl w:val="true"/>
      </w:pPr>
      <w:r>
        <w:t>Pour un Syndicat, un non-professionnel ou toute personne ne pouvant se voir opposer cette attribution, les règles légales de compétence s’appliquent. Les litiges relevant d’un contrat administratif sont portés devant la juridiction administrative compétente.</w:t>
      </w:r>
    </w:p>
    <w:p>
      <w:pPr>
        <w:pStyle w:val="Heading1"/>
        <w:jc w:val="left"/>
        <w:numPr>
          <w:ilvl w:val="0"/>
          <w:numId w:val="42"/>
        </w:numPr>
        <w:widowControl w:val="true"/>
      </w:pPr>
      <w:r>
        <w:t>Publication et entrée en vigueur</w:t>
      </w:r>
    </w:p>
    <w:p>
      <w:pPr>
        <w:keepLines w:val="0"/>
        <w:jc w:val="both"/>
        <w:widowControl w:val="true"/>
      </w:pPr>
      <w:r>
        <w:t>Les CGV entrent en vigueur le 30 juillet 2026. Elles peuvent être consultées sur le site internet de VBT AUTOMATISMES et communiquées sur support durable. Le Client est invité à les télécharger et les conserver avec son devis.</w:t>
      </w:r>
    </w:p>
    <w:p>
      <w:pPr>
        <w:keepLines w:val="0"/>
        <w:jc w:val="both"/>
        <w:widowControl w:val="true"/>
      </w:pPr>
      <w:r>
        <w:t>VBT AUTOMATISMES peut les modifier pour les commandes futures. La date et la version figurant en couverture permettent d’identifier le texte applicable.</w:t>
      </w:r>
    </w:p>
    <w:p>
      <w:pPr>
        <w:widowControl w:val="true"/>
      </w:pPr>
      <w:r>
        <w:br w:type="page"/>
      </w:r>
    </w:p>
    <w:p>
      <w:pPr>
        <w:pStyle w:val="Title"/>
        <w:jc w:val="center"/>
        <w:widowControl w:val="true"/>
      </w:pPr>
      <w:r>
        <w:t>FIN DES CONDITIONS GÉNÉRALES DE VENTE</w:t>
      </w:r>
    </w:p>
    <w:p>
      <w:pPr>
        <w:pStyle w:val="ContractLead"/>
        <w:keepLines w:val="0"/>
        <w:jc w:val="both"/>
        <w:widowControl w:val="true"/>
      </w:pPr>
      <w:r>
        <w:t>Pour toute question contractuelle ou demande de communication des présentes CGV sur support durable : contact@vbt-automatismes.com — 07 60 08 21 33.</w:t>
      </w:r>
    </w:p>
    <w:tbl>
      <w:tblPr>
        <w:tblStyle w:val="TableGrid"/>
        <w:tblW w:type="dxa" w:w="8561"/>
        <w:jc w:val="center"/>
        <w:tblLayout w:type="fixed"/>
        <w:tblLook w:firstColumn="1" w:firstRow="1" w:lastColumn="0" w:lastRow="0" w:noHBand="0" w:noVBand="1" w:val="04A0"/>
        <w:tblInd w:w="120" w:type="dxa"/>
      </w:tblPr>
      <w:tblGrid>
        <w:gridCol w:w="2268"/>
        <w:gridCol w:w="6293"/>
      </w:tblGrid>
      <w:tr>
        <w:tc>
          <w:tcPr>
            <w:tcW w:type="dxa" w:w="2268"/>
            <w:shd w:fill="F5F7FA"/>
            <w:tcMar>
              <w:top w:w="90" w:type="dxa"/>
              <w:start w:w="120" w:type="dxa"/>
              <w:bottom w:w="90" w:type="dxa"/>
              <w:end w:w="120" w:type="dxa"/>
            </w:tcMar>
            <w:vAlign w:val="center"/>
          </w:tcPr>
          <w:p>
            <w:pPr>
              <w:pStyle w:val="TableText"/>
              <w:jc w:val="left"/>
            </w:pPr>
            <w:r>
              <w:rPr>
                <w:b/>
              </w:rPr>
              <w:t>SOCIÉTÉ</w:t>
            </w:r>
          </w:p>
        </w:tc>
        <w:tc>
          <w:tcPr>
            <w:tcW w:type="dxa" w:w="6293"/>
            <w:tcMar>
              <w:top w:w="90" w:type="dxa"/>
              <w:start w:w="120" w:type="dxa"/>
              <w:bottom w:w="90" w:type="dxa"/>
              <w:end w:w="120" w:type="dxa"/>
            </w:tcMar>
            <w:vAlign w:val="center"/>
          </w:tcPr>
          <w:p>
            <w:pPr>
              <w:pStyle w:val="TableText"/>
              <w:jc w:val="left"/>
            </w:pPr>
            <w:r>
              <w:t>VBT AUTOMATISMES</w:t>
            </w:r>
          </w:p>
        </w:tc>
      </w:tr>
      <w:tr>
        <w:tc>
          <w:tcPr>
            <w:tcW w:type="dxa" w:w="2268"/>
            <w:shd w:fill="F5F7FA"/>
            <w:tcMar>
              <w:top w:w="90" w:type="dxa"/>
              <w:start w:w="120" w:type="dxa"/>
              <w:bottom w:w="90" w:type="dxa"/>
              <w:end w:w="120" w:type="dxa"/>
            </w:tcMar>
            <w:vAlign w:val="center"/>
          </w:tcPr>
          <w:p>
            <w:pPr>
              <w:pStyle w:val="TableText"/>
              <w:jc w:val="left"/>
            </w:pPr>
            <w:r>
              <w:rPr>
                <w:b/>
              </w:rPr>
              <w:t>VERSION</w:t>
            </w:r>
          </w:p>
        </w:tc>
        <w:tc>
          <w:tcPr>
            <w:tcW w:type="dxa" w:w="6293"/>
            <w:tcMar>
              <w:top w:w="90" w:type="dxa"/>
              <w:start w:w="120" w:type="dxa"/>
              <w:bottom w:w="90" w:type="dxa"/>
              <w:end w:w="120" w:type="dxa"/>
            </w:tcMar>
            <w:vAlign w:val="center"/>
          </w:tcPr>
          <w:p>
            <w:pPr>
              <w:pStyle w:val="TableText"/>
              <w:jc w:val="left"/>
            </w:pPr>
            <w:r>
              <w:t>30 juillet 2026</w:t>
            </w:r>
          </w:p>
        </w:tc>
      </w:tr>
      <w:tr>
        <w:tc>
          <w:tcPr>
            <w:tcW w:type="dxa" w:w="2268"/>
            <w:shd w:fill="F5F7FA"/>
            <w:tcMar>
              <w:top w:w="90" w:type="dxa"/>
              <w:start w:w="120" w:type="dxa"/>
              <w:bottom w:w="90" w:type="dxa"/>
              <w:end w:w="120" w:type="dxa"/>
            </w:tcMar>
            <w:vAlign w:val="center"/>
          </w:tcPr>
          <w:p>
            <w:pPr>
              <w:pStyle w:val="TableText"/>
              <w:jc w:val="left"/>
            </w:pPr>
            <w:r>
              <w:rPr>
                <w:b/>
              </w:rPr>
              <w:t>DOCUMENT</w:t>
            </w:r>
          </w:p>
        </w:tc>
        <w:tc>
          <w:tcPr>
            <w:tcW w:type="dxa" w:w="6293"/>
            <w:tcMar>
              <w:top w:w="90" w:type="dxa"/>
              <w:start w:w="120" w:type="dxa"/>
              <w:bottom w:w="90" w:type="dxa"/>
              <w:end w:w="120" w:type="dxa"/>
            </w:tcMar>
            <w:vAlign w:val="center"/>
          </w:tcPr>
          <w:p>
            <w:pPr>
              <w:pStyle w:val="TableText"/>
              <w:jc w:val="left"/>
            </w:pPr>
            <w:r>
              <w:t>Conditions générales de vente et de prestations</w:t>
            </w:r>
          </w:p>
        </w:tc>
      </w:tr>
      <w:tr>
        <w:tc>
          <w:tcPr>
            <w:tcW w:type="dxa" w:w="2268"/>
            <w:shd w:fill="F5F7FA"/>
            <w:tcMar>
              <w:top w:w="90" w:type="dxa"/>
              <w:start w:w="120" w:type="dxa"/>
              <w:bottom w:w="90" w:type="dxa"/>
              <w:end w:w="120" w:type="dxa"/>
            </w:tcMar>
            <w:vAlign w:val="center"/>
          </w:tcPr>
          <w:p>
            <w:pPr>
              <w:pStyle w:val="TableText"/>
              <w:jc w:val="left"/>
            </w:pPr>
            <w:r>
              <w:rPr>
                <w:b/>
              </w:rPr>
              <w:t>PÉRIMÈTRE</w:t>
            </w:r>
          </w:p>
        </w:tc>
        <w:tc>
          <w:tcPr>
            <w:tcW w:type="dxa" w:w="6293"/>
            <w:tcMar>
              <w:top w:w="90" w:type="dxa"/>
              <w:start w:w="120" w:type="dxa"/>
              <w:bottom w:w="90" w:type="dxa"/>
              <w:end w:w="120" w:type="dxa"/>
            </w:tcMar>
            <w:vAlign w:val="center"/>
          </w:tcPr>
          <w:p>
            <w:pPr>
              <w:pStyle w:val="TableText"/>
              <w:jc w:val="left"/>
            </w:pPr>
            <w:r>
              <w:t>Clients professionnels, publics et copropriétés</w:t>
            </w:r>
          </w:p>
        </w:tc>
      </w:tr>
    </w:tbl>
    <w:p>
      <w:pPr>
        <w:spacing w:after="20"/>
        <w:widowControl w:val="true"/>
      </w:pPr>
    </w:p>
    <w:sectPr w:rsidR="00FC693F" w:rsidRPr="0006063C" w:rsidSect="00034616">
      <w:headerReference w:type="default" r:id="rId9"/>
      <w:footerReference w:type="default" r:id="rId10"/>
      <w:pgSz w:w="11906" w:h="16838"/>
      <w:pgMar w:top="1134" w:right="1219" w:bottom="1020" w:left="1219"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dxa" w:w="9468"/>
      <w:jc w:val="center"/>
      <w:tblLayout w:type="fixed"/>
      <w:tblLook w:firstColumn="1" w:firstRow="1" w:lastColumn="0" w:lastRow="0" w:noHBand="0" w:noVBand="1" w:val="04A0"/>
      <w:tblInd w:w="120" w:type="dxa"/>
      <w:tblBorders>
        <w:top w:val="nil"/>
        <w:left w:val="nil"/>
        <w:bottom w:val="nil"/>
        <w:right w:val="nil"/>
        <w:insideH w:val="nil"/>
        <w:insideV w:val="nil"/>
      </w:tblBorders>
    </w:tblPr>
    <w:tblGrid>
      <w:gridCol w:w="6123"/>
      <w:gridCol w:w="3345"/>
    </w:tblGrid>
    <w:tr>
      <w:tc>
        <w:tcPr>
          <w:tcW w:type="dxa" w:w="6123"/>
          <w:tcMar>
            <w:top w:w="90" w:type="dxa"/>
            <w:start w:w="120" w:type="dxa"/>
            <w:bottom w:w="90" w:type="dxa"/>
            <w:end w:w="120" w:type="dxa"/>
          </w:tcMar>
          <w:vAlign w:val="center"/>
        </w:tcPr>
        <w:p>
          <w:pPr>
            <w:pStyle w:val="FinePrint"/>
            <w:spacing w:before="0" w:after="0" w:line="240" w:lineRule="auto"/>
            <w:jc w:val="left"/>
          </w:pPr>
          <w:r>
            <w:rPr>
              <w:b/>
            </w:rPr>
            <w:t>Conditions générales de vente • Version du 30 juillet 2026</w:t>
          </w:r>
        </w:p>
      </w:tc>
      <w:tc>
        <w:tcPr>
          <w:tcW w:type="dxa" w:w="3345"/>
          <w:tcMar>
            <w:top w:w="90" w:type="dxa"/>
            <w:start w:w="120" w:type="dxa"/>
            <w:bottom w:w="90" w:type="dxa"/>
            <w:end w:w="120" w:type="dxa"/>
          </w:tcMar>
          <w:vAlign w:val="center"/>
        </w:tcPr>
        <w:p>
          <w:pPr>
            <w:pStyle w:val="FinePrint"/>
            <w:spacing w:before="0" w:after="0" w:line="240" w:lineRule="auto"/>
            <w:jc w:val="right"/>
          </w:pPr>
          <w:r>
            <w:t xml:space="preserve">Page </w:t>
          </w:r>
          <w:fldSimple w:instr="PAGE">
            <w:r>
              <w:t>1</w:t>
            </w:r>
          </w:fldSimple>
          <w:r>
            <w:t xml:space="preserve"> / </w:t>
          </w:r>
          <w:fldSimple w:instr="NUMPAGES">
            <w:r>
              <w:t>1</w:t>
            </w:r>
          </w:fldSimple>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4" w:space="1" w:color="CFD8E3"/>
      </w:pBdr>
    </w:pPr>
    <w:r>
      <w:rPr>
        <w:rFonts w:ascii="Aptos" w:hAnsi="Aptos"/>
        <w:b/>
        <w:color w:val="5B6573"/>
        <w:sz w:val="16"/>
      </w:rPr>
      <w:t>VBT AUTOMATISMES | CONDITIONS GÉNÉRALES DE VENTE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42">
    <w:lvl w:ilvl="0">
      <w:start w:val="1"/>
      <w:numFmt w:val="decimal"/>
      <w:lvlText w:val="%1."/>
      <w:suff w:val="space"/>
      <w:pPr>
        <w:tabs>
          <w:tab w:val="num" w:pos="360"/>
        </w:tabs>
        <w:ind w:left="720" w:hanging="360"/>
      </w:pPr>
    </w:lvl>
    <w:lvl w:ilvl="1">
      <w:start w:val="1"/>
      <w:numFmt w:val="decimal"/>
      <w:lvlText w:val="%1.%2."/>
      <w:suff w:val="space"/>
      <w:pPr>
        <w:tabs>
          <w:tab w:val="num" w:pos="720"/>
        </w:tabs>
        <w:ind w:left="1080" w:hanging="360"/>
      </w:pPr>
    </w:lvl>
    <w:lvl w:ilvl="2">
      <w:start w:val="1"/>
      <w:numFmt w:val="decimal"/>
      <w:lvlText w:val="%1.%2.%3."/>
      <w:suff w:val="space"/>
      <w:pPr>
        <w:tabs>
          <w:tab w:val="num" w:pos="1080"/>
        </w:tabs>
        <w:ind w:left="1440" w:hanging="360"/>
      </w:pPr>
    </w:lvl>
  </w:abstractNum>
  <w:num w:numId="42">
    <w:abstractNumId w:val="42"/>
  </w:num>
  <w:abstractNum w:abstractNumId="43">
    <w:lvl w:ilvl="0">
      <w:start w:val="1"/>
      <w:numFmt w:val="bullet"/>
      <w:lvlText w:val="•"/>
      <w:pPr>
        <w:ind w:left="720" w:hanging="360"/>
      </w:pPr>
    </w:lvl>
  </w:abstractNum>
  <w:num w:numId="4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jc w:val="both"/>
    </w:pPr>
    <w:rPr>
      <w:rFonts w:ascii="Aptos" w:hAnsi="Aptos"/>
      <w:color w:val="1D232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Aptos Display" w:hAnsi="Aptos Display"/>
      <w:b/>
      <w:bCs/>
      <w:color w:val="2E74B5"/>
      <w:sz w:val="30"/>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Aptos Display" w:hAnsi="Aptos Display"/>
      <w:b/>
      <w:bCs/>
      <w:color w:val="2E74B5"/>
      <w:sz w:val="24"/>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ptos Display" w:hAnsi="Aptos Display"/>
      <w:b/>
      <w:bCs/>
      <w:color w:val="17365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ptos Display" w:hAnsi="Aptos Display"/>
      <w:b/>
      <w:color w:val="17365D"/>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00"/>
    </w:pPr>
    <w:rPr>
      <w:rFonts w:asciiTheme="majorHAnsi" w:eastAsiaTheme="majorEastAsia" w:hAnsiTheme="majorHAnsi" w:cstheme="majorBidi" w:ascii="Aptos Display" w:hAnsi="Aptos Display"/>
      <w:b w:val="0"/>
      <w:i/>
      <w:iCs/>
      <w:color w:val="5B6573"/>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ntractLead">
    <w:name w:val="Contract Lead"/>
    <w:basedOn w:val="Normal"/>
    <w:pPr>
      <w:spacing w:after="100" w:line="264" w:lineRule="auto"/>
    </w:pPr>
    <w:rPr>
      <w:rFonts w:ascii="Aptos" w:hAnsi="Aptos"/>
      <w:color w:val="17365D"/>
      <w:sz w:val="22"/>
    </w:rPr>
  </w:style>
  <w:style w:type="paragraph" w:customStyle="1" w:styleId="FinePrint">
    <w:name w:val="Fine Print"/>
    <w:basedOn w:val="Normal"/>
    <w:pPr>
      <w:spacing w:after="100" w:line="264" w:lineRule="auto"/>
    </w:pPr>
    <w:rPr>
      <w:rFonts w:ascii="Aptos" w:hAnsi="Aptos"/>
      <w:color w:val="5B6573"/>
      <w:sz w:val="17"/>
    </w:rPr>
  </w:style>
  <w:style w:type="paragraph" w:customStyle="1" w:styleId="TableText">
    <w:name w:val="Table Text"/>
    <w:basedOn w:val="Normal"/>
    <w:pPr>
      <w:spacing w:after="100" w:line="264" w:lineRule="auto"/>
    </w:pPr>
    <w:rPr>
      <w:rFonts w:ascii="Aptos" w:hAnsi="Aptos"/>
      <w:color w:val="1D232A"/>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Conditions générales de vente — VBT AUTOMATISMES</dc:title>
  <dc:subject>Conditions générales applicables aux ventes et prestations techniques</dc:subject>
  <dc:creator>VBT AUTOMATISMES</dc:creator>
  <cp:keywords>CGV, automatismes, maintenance, dépannage, installation, contrôle d’accès</cp:keywords>
  <dc:description>Version destinée à publication sur le site internet de VBT AUTOMATISMES.</dc:description>
  <cp:lastModifiedBy/>
  <cp:revision>1</cp:revision>
  <dcterms:created xsi:type="dcterms:W3CDTF">2013-12-23T23:15:00Z</dcterms:created>
  <dcterms:modified xsi:type="dcterms:W3CDTF">2013-12-23T23:15:00Z</dcterms:modified>
  <cp:category/>
</cp:coreProperties>
</file>